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oesx-20260805.htm"/>
      <w:bookmarkStart w:id="1" w:name="ksoesx20260805"/>
      <w:bookmarkEnd w:id="0"/>
      <w:bookmarkEnd w:id="1"/>
      <w:r>
        <w:rPr/>
        <w:t> </w:t>
      </w:r>
    </w:p>
    <w:p>
      <w:pPr>
        <w:pStyle w:val="TextBody"/>
        <w:bidi w:val="0"/>
        <w:jc w:val="left"/>
        <w:rPr/>
      </w:pPr>
      <w:r>
        <w:rPr/>
        <w:t> </w:t>
      </w:r>
    </w:p>
    <w:p>
      <w:pPr>
        <w:pStyle w:val="TextBody"/>
        <w:bidi w:val="0"/>
        <w:jc w:val="center"/>
        <w:rPr>
          <w:rFonts w:ascii="Times New Roman" w:hAnsi="Times New Roman"/>
          <w:color w:val="000000"/>
          <w:sz w:val="32"/>
        </w:rPr>
      </w:pPr>
      <w:r>
        <w:rPr>
          <w:rFonts w:ascii="Times New Roman" w:hAnsi="Times New Roman"/>
          <w:color w:val="000000"/>
          <w:sz w:val="32"/>
        </w:rPr>
        <w:t>UNITED STATES</w:t>
      </w:r>
    </w:p>
    <w:p>
      <w:pPr>
        <w:pStyle w:val="TextBody"/>
        <w:bidi w:val="0"/>
        <w:jc w:val="center"/>
        <w:rPr>
          <w:rFonts w:ascii="Times New Roman" w:hAnsi="Times New Roman"/>
          <w:color w:val="000000"/>
          <w:sz w:val="32"/>
        </w:rPr>
      </w:pPr>
      <w:r>
        <w:rPr>
          <w:rFonts w:ascii="Times New Roman" w:hAnsi="Times New Roman"/>
          <w:color w:val="000000"/>
          <w:sz w:val="32"/>
        </w:rPr>
        <w:t>SECURITIES AND EXCHANGE COMMISSION</w:t>
      </w:r>
    </w:p>
    <w:p>
      <w:pPr>
        <w:pStyle w:val="TextBody"/>
        <w:bidi w:val="0"/>
        <w:jc w:val="center"/>
        <w:rPr>
          <w:rFonts w:ascii="Times New Roman" w:hAnsi="Times New Roman"/>
          <w:color w:val="000000"/>
          <w:sz w:val="20"/>
        </w:rPr>
      </w:pPr>
      <w:r>
        <w:rPr>
          <w:rFonts w:ascii="Times New Roman" w:hAnsi="Times New Roman"/>
          <w:color w:val="000000"/>
          <w:sz w:val="20"/>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color w:val="000000"/>
          <w:sz w:val="32"/>
        </w:rPr>
      </w:pPr>
      <w:r>
        <w:rPr>
          <w:rFonts w:ascii="Times New Roman" w:hAnsi="Times New Roman"/>
          <w:color w:val="000000"/>
          <w:sz w:val="32"/>
        </w:rPr>
        <w:t>FORM 8-K</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CURRENT REPORT</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Pursuant to Section 13 or 15(d) of</w:t>
      </w:r>
    </w:p>
    <w:p>
      <w:pPr>
        <w:pStyle w:val="TextBody"/>
        <w:bidi w:val="0"/>
        <w:jc w:val="center"/>
        <w:rPr>
          <w:rFonts w:ascii="Times New Roman" w:hAnsi="Times New Roman"/>
          <w:color w:val="000000"/>
          <w:sz w:val="24"/>
        </w:rPr>
      </w:pPr>
      <w:r>
        <w:rPr>
          <w:rFonts w:ascii="Times New Roman" w:hAnsi="Times New Roman"/>
          <w:color w:val="000000"/>
          <w:sz w:val="24"/>
        </w:rPr>
        <w:t>the Securities Exchange Act of 1934</w:t>
      </w:r>
    </w:p>
    <w:p>
      <w:pPr>
        <w:pStyle w:val="TextBody"/>
        <w:pBdr>
          <w:bottom w:val="single" w:sz="4" w:space="1" w:color="000000"/>
        </w:pBdr>
        <w:bidi w:val="0"/>
        <w:jc w:val="center"/>
        <w:rPr/>
      </w:pPr>
      <w:r>
        <w:rPr/>
        <w:t> </w:t>
      </w:r>
    </w:p>
    <w:p>
      <w:pPr>
        <w:pStyle w:val="TextBody"/>
        <w:bidi w:val="0"/>
        <w:jc w:val="left"/>
        <w:rPr/>
      </w:pPr>
      <w:r>
        <w:rPr/>
        <w:t> </w:t>
      </w:r>
    </w:p>
    <w:tbl>
      <w:tblPr>
        <w:tblW w:w="5503" w:type="dxa"/>
        <w:jc w:val="left"/>
        <w:tblInd w:w="0" w:type="dxa"/>
        <w:tblLayout w:type="fixed"/>
        <w:tblCellMar>
          <w:top w:w="28" w:type="dxa"/>
          <w:left w:w="28" w:type="dxa"/>
          <w:bottom w:w="28" w:type="dxa"/>
          <w:right w:w="28" w:type="dxa"/>
        </w:tblCellMar>
      </w:tblPr>
      <w:tblGrid>
        <w:gridCol w:w="3961"/>
        <w:gridCol w:w="146"/>
        <w:gridCol w:w="1396"/>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of Report (Date of earliest event reported):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5, 2026</w:t>
            </w:r>
          </w:p>
        </w:tc>
      </w:tr>
      <w:tr>
        <w:trPr/>
        <w:tc>
          <w:tcPr>
            <w:tcW w:w="3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40"/>
          <w:u w:val="single"/>
        </w:rPr>
      </w:pPr>
      <w:r>
        <w:rPr>
          <w:rFonts w:ascii="Times New Roman" w:hAnsi="Times New Roman"/>
          <w:color w:val="000000"/>
          <w:sz w:val="40"/>
          <w:u w:val="single"/>
        </w:rPr>
        <w:t>ORION ENERGY SYSTEMS, INC.</w:t>
      </w:r>
    </w:p>
    <w:p>
      <w:pPr>
        <w:pStyle w:val="TextBody"/>
        <w:bidi w:val="0"/>
        <w:jc w:val="center"/>
        <w:rPr>
          <w:rFonts w:ascii="Times New Roman" w:hAnsi="Times New Roman"/>
          <w:color w:val="000000"/>
          <w:sz w:val="16"/>
        </w:rPr>
      </w:pPr>
      <w:r>
        <w:rPr>
          <w:rFonts w:ascii="Times New Roman" w:hAnsi="Times New Roman"/>
          <w:color w:val="000000"/>
          <w:sz w:val="16"/>
        </w:rPr>
        <w:t>(Exact name of registrant as specified in its charter)</w:t>
      </w:r>
    </w:p>
    <w:p>
      <w:pPr>
        <w:pStyle w:val="TextBody"/>
        <w:bidi w:val="0"/>
        <w:jc w:val="center"/>
        <w:rPr/>
      </w:pPr>
      <w:r>
        <w:rPr/>
        <w:t> </w:t>
      </w:r>
    </w:p>
    <w:p>
      <w:pPr>
        <w:pStyle w:val="TextBody"/>
        <w:bidi w:val="0"/>
        <w:jc w:val="left"/>
        <w:rPr/>
      </w:pPr>
      <w:r>
        <w:rPr/>
        <w:t> </w:t>
      </w:r>
    </w:p>
    <w:tbl>
      <w:tblPr>
        <w:tblW w:w="3888" w:type="dxa"/>
        <w:jc w:val="left"/>
        <w:tblInd w:w="0" w:type="dxa"/>
        <w:tblLayout w:type="fixed"/>
        <w:tblCellMar>
          <w:top w:w="28" w:type="dxa"/>
          <w:left w:w="28" w:type="dxa"/>
          <w:bottom w:w="28" w:type="dxa"/>
          <w:right w:w="28" w:type="dxa"/>
        </w:tblCellMar>
      </w:tblPr>
      <w:tblGrid>
        <w:gridCol w:w="1126"/>
        <w:gridCol w:w="1321"/>
        <w:gridCol w:w="1441"/>
      </w:tblGrid>
      <w:tr>
        <w:trPr/>
        <w:tc>
          <w:tcPr>
            <w:tcW w:w="112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11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Wisconsin</w:t>
            </w:r>
          </w:p>
        </w:tc>
        <w:tc>
          <w:tcPr>
            <w:tcW w:w="1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01-33887</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39-1847269</w:t>
            </w:r>
          </w:p>
        </w:tc>
      </w:tr>
      <w:tr>
        <w:trPr/>
        <w:tc>
          <w:tcPr>
            <w:tcW w:w="112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(State or other</w:t>
            </w:r>
          </w:p>
          <w:p>
            <w:pPr>
              <w:pStyle w:val="TableContents"/>
              <w:bidi w:val="0"/>
              <w:jc w:val="center"/>
              <w:rPr>
                <w:rFonts w:ascii="Times New Roman" w:hAnsi="Times New Roman"/>
                <w:color w:val="000000"/>
                <w:sz w:val="16"/>
              </w:rPr>
            </w:pPr>
            <w:r>
              <w:rPr>
                <w:rFonts w:ascii="Times New Roman" w:hAnsi="Times New Roman"/>
                <w:color w:val="000000"/>
                <w:sz w:val="16"/>
              </w:rPr>
              <w:t>jurisdiction of</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incorporation)</w:t>
            </w:r>
          </w:p>
        </w:tc>
        <w:tc>
          <w:tcPr>
            <w:tcW w:w="132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(Commission File</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Number)</w:t>
            </w:r>
          </w:p>
        </w:tc>
        <w:tc>
          <w:tcPr>
            <w:tcW w:w="144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(IRS Employer</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Identification No.)</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olor w:val="000000"/>
          <w:sz w:val="20"/>
          <w:u w:val="single"/>
        </w:rPr>
        <w:t>2210 Woodland Drive, Manitowoc, Wisconsin, 54220</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(Address of principal executive offices, including zip code)</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olor w:val="000000"/>
          <w:sz w:val="20"/>
          <w:u w:val="single"/>
        </w:rPr>
        <w:t>(920) 892-9340</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(Registrant’s telephone number, including area code)</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olor w:val="000000"/>
          <w:sz w:val="20"/>
          <w:u w:val="single"/>
        </w:rPr>
        <w:t>Not Applicable</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(Former name or former address, if changed since last report)</w:t>
      </w:r>
    </w:p>
    <w:p>
      <w:pPr>
        <w:pStyle w:val="TextBody"/>
        <w:pBdr>
          <w:bottom w:val="single" w:sz="4" w:space="1" w:color="000000"/>
        </w:pBdr>
        <w:bidi w:val="0"/>
        <w:jc w:val="center"/>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Check the appropriate box below if the Form 8-K filing is intended to simultaneously satisfy the filing obligation of the registrant under any of the following provisions:</w:t>
      </w:r>
    </w:p>
    <w:p>
      <w:pPr>
        <w:pStyle w:val="TextBody"/>
        <w:bidi w:val="0"/>
        <w:spacing w:before="120" w:after="283"/>
        <w:jc w:val="both"/>
        <w:rPr/>
      </w:pPr>
      <w:r>
        <w:rPr>
          <w:color w:val="000000"/>
        </w:rPr>
        <w:t xml:space="preserve">☐ </w:t>
      </w:r>
      <w:r>
        <w:rPr>
          <w:rFonts w:ascii="Times New Roman" w:hAnsi="Times New Roman"/>
          <w:color w:val="000000"/>
          <w:sz w:val="16"/>
        </w:rPr>
        <w:t>Written communications pursuant to Rule 425 under the Securities Act (17 CFR 230.425)</w:t>
      </w:r>
    </w:p>
    <w:p>
      <w:pPr>
        <w:pStyle w:val="TextBody"/>
        <w:bidi w:val="0"/>
        <w:spacing w:before="120" w:after="283"/>
        <w:jc w:val="both"/>
        <w:rPr/>
      </w:pPr>
      <w:r>
        <w:rPr>
          <w:color w:val="000000"/>
        </w:rPr>
        <w:t xml:space="preserve">☐ </w:t>
      </w:r>
      <w:r>
        <w:rPr>
          <w:rFonts w:ascii="Times New Roman" w:hAnsi="Times New Roman"/>
          <w:color w:val="000000"/>
          <w:sz w:val="16"/>
        </w:rPr>
        <w:t>Soliciting material pursuant to Rule 14a-12 under the Exchange Act (17 CFR 240.14a-12)</w:t>
      </w:r>
    </w:p>
    <w:p>
      <w:pPr>
        <w:pStyle w:val="TextBody"/>
        <w:bidi w:val="0"/>
        <w:spacing w:before="120" w:after="283"/>
        <w:jc w:val="both"/>
        <w:rPr/>
      </w:pPr>
      <w:r>
        <w:rPr>
          <w:color w:val="000000"/>
        </w:rPr>
        <w:t xml:space="preserve">☐ </w:t>
      </w:r>
      <w:r>
        <w:rPr>
          <w:rFonts w:ascii="Times New Roman" w:hAnsi="Times New Roman"/>
          <w:color w:val="000000"/>
          <w:sz w:val="16"/>
        </w:rPr>
        <w:t>Pre-commencement communications pursuant to Rule 14d-2(b) under the Exchange Act (17 CFR 240.14d-2(b))</w:t>
      </w:r>
    </w:p>
    <w:p>
      <w:pPr>
        <w:pStyle w:val="TextBody"/>
        <w:bidi w:val="0"/>
        <w:spacing w:before="120" w:after="283"/>
        <w:jc w:val="both"/>
        <w:rPr/>
      </w:pPr>
      <w:r>
        <w:rPr>
          <w:color w:val="000000"/>
        </w:rPr>
        <w:t xml:space="preserve">☐ </w:t>
      </w:r>
      <w:r>
        <w:rPr>
          <w:rFonts w:ascii="Times New Roman" w:hAnsi="Times New Roman"/>
          <w:color w:val="000000"/>
          <w:sz w:val="16"/>
        </w:rPr>
        <w:t>Pre-commencement communications pursuant to Rule 13e-4(c) under the Exchange Act (17 CFR 240.13e-4(c)</w:t>
      </w:r>
    </w:p>
    <w:p>
      <w:pPr>
        <w:pStyle w:val="TextBody"/>
        <w:bidi w:val="0"/>
        <w:spacing w:before="40" w:after="16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390" w:type="dxa"/>
        <w:jc w:val="left"/>
        <w:tblInd w:w="0" w:type="dxa"/>
        <w:tblLayout w:type="fixed"/>
        <w:tblCellMar>
          <w:top w:w="28" w:type="dxa"/>
          <w:left w:w="28" w:type="dxa"/>
          <w:bottom w:w="28" w:type="dxa"/>
          <w:right w:w="28" w:type="dxa"/>
        </w:tblCellMar>
      </w:tblPr>
      <w:tblGrid>
        <w:gridCol w:w="2131"/>
        <w:gridCol w:w="146"/>
        <w:gridCol w:w="1501"/>
        <w:gridCol w:w="146"/>
        <w:gridCol w:w="346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21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 (s)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4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1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no par value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OESX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6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The Nasdaq Stock Market LLC</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(NASDAQ Capital Market)</w:t>
            </w:r>
          </w:p>
        </w:tc>
      </w:tr>
    </w:tbl>
    <w:p>
      <w:pPr>
        <w:pStyle w:val="TextBody"/>
        <w:bidi w:val="0"/>
        <w:spacing w:before="120" w:after="283"/>
        <w:jc w:val="both"/>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283"/>
        <w:jc w:val="both"/>
        <w:rPr>
          <w:rFonts w:ascii="Times New Roman" w:hAnsi="Times New Roman"/>
          <w:sz w:val="20"/>
        </w:rPr>
      </w:pPr>
      <w:r>
        <w:rPr>
          <w:rFonts w:ascii="Times New Roman" w:hAnsi="Times New Roman"/>
          <w:color w:val="000000"/>
          <w:sz w:val="16"/>
        </w:rPr>
        <w:t xml:space="preserve">Emerging growth company </w:t>
      </w:r>
      <w:r>
        <w:rPr>
          <w:rFonts w:ascii="Times New Roman" w:hAnsi="Times New Roman"/>
          <w:color w:val="000000"/>
          <w:sz w:val="20"/>
        </w:rPr>
        <w:t>☐</w:t>
      </w:r>
    </w:p>
    <w:p>
      <w:pPr>
        <w:pStyle w:val="TextBody"/>
        <w:bidi w:val="0"/>
        <w:spacing w:before="240" w:after="283"/>
        <w:jc w:val="both"/>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240" w:after="283"/>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 w:name="eolpage2"/>
      <w:bookmarkStart w:id="3" w:name="orion_form8xkforearningsre_htm_sb508d3cc"/>
      <w:bookmarkEnd w:id="2"/>
      <w:bookmarkEnd w:id="3"/>
      <w:r>
        <w:rPr>
          <w:rFonts w:ascii="Times New Roman" w:hAnsi="Times New Roman"/>
          <w:b/>
          <w:color w:val="000000"/>
          <w:sz w:val="22"/>
          <w:u w:val="single"/>
        </w:rPr>
        <w:t>Item 2.02</w:t>
      </w:r>
      <w:r>
        <w:rPr>
          <w:rFonts w:ascii="Times New Roman" w:hAnsi="Times New Roman"/>
          <w:color w:val="000000"/>
          <w:sz w:val="20"/>
        </w:rPr>
        <w:t xml:space="preserve"> </w:t>
      </w:r>
      <w:r>
        <w:rPr>
          <w:rFonts w:ascii="Times New Roman" w:hAnsi="Times New Roman"/>
          <w:b/>
          <w:color w:val="000000"/>
          <w:sz w:val="22"/>
        </w:rPr>
        <w:t>.</w:t>
      </w:r>
      <w:r>
        <w:rPr>
          <w:rFonts w:ascii="Times New Roman" w:hAnsi="Times New Roman"/>
          <w:color w:val="000000"/>
          <w:sz w:val="20"/>
        </w:rPr>
        <w:t xml:space="preserve"> </w:t>
      </w:r>
      <w:r>
        <w:rPr>
          <w:rFonts w:ascii="Times New Roman" w:hAnsi="Times New Roman"/>
          <w:b/>
          <w:color w:val="000000"/>
          <w:sz w:val="22"/>
          <w:u w:val="single"/>
        </w:rPr>
        <w:t>Results of Operations and Financial Condition.</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On August 5, 2026, Orion Energy Systems, Inc. (the “Company”) issued a press release announcing its quarterly financial results for its fiscal 2026 quarter ended June 30, 2026. A copy of the press release is furnished as Exhibit 99.1 to this Current Report on Form 8-K.</w:t>
      </w:r>
    </w:p>
    <w:p>
      <w:pPr>
        <w:pStyle w:val="TextBody"/>
        <w:bidi w:val="0"/>
        <w:jc w:val="left"/>
        <w:rPr>
          <w:rFonts w:ascii="Times New Roman" w:hAnsi="Times New Roman"/>
          <w:sz w:val="20"/>
        </w:rPr>
      </w:pPr>
      <w:bookmarkStart w:id="4" w:name="fis_section_9_financial_statements_and_e"/>
      <w:bookmarkStart w:id="5" w:name="fis_financial_statements_and_exhibits"/>
      <w:bookmarkEnd w:id="4"/>
      <w:bookmarkEnd w:id="5"/>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2"/>
          <w:u w:val="single"/>
        </w:rPr>
        <w:t>Item 9.01(d)</w:t>
      </w:r>
      <w:r>
        <w:rPr>
          <w:rFonts w:ascii="Times New Roman" w:hAnsi="Times New Roman"/>
          <w:color w:val="000000"/>
          <w:sz w:val="20"/>
        </w:rPr>
        <w:t xml:space="preserve"> </w:t>
      </w:r>
      <w:r>
        <w:rPr>
          <w:rFonts w:ascii="Times New Roman" w:hAnsi="Times New Roman"/>
          <w:b/>
          <w:color w:val="000000"/>
          <w:sz w:val="22"/>
        </w:rPr>
        <w:t>.</w:t>
      </w:r>
      <w:r>
        <w:rPr>
          <w:rFonts w:ascii="Times New Roman" w:hAnsi="Times New Roman"/>
          <w:color w:val="000000"/>
          <w:sz w:val="20"/>
        </w:rPr>
        <w:t xml:space="preserve"> </w:t>
      </w:r>
      <w:r>
        <w:rPr>
          <w:rFonts w:ascii="Times New Roman" w:hAnsi="Times New Roman"/>
          <w:b/>
          <w:color w:val="000000"/>
          <w:sz w:val="22"/>
          <w:u w:val="single"/>
        </w:rPr>
        <w:t>Financial Statements and Exhibits.</w:t>
      </w:r>
    </w:p>
    <w:p>
      <w:pPr>
        <w:pStyle w:val="TextBody"/>
        <w:bidi w:val="0"/>
        <w:jc w:val="both"/>
        <w:rPr/>
      </w:pPr>
      <w:r>
        <w:rPr/>
        <w:t> </w:t>
      </w:r>
    </w:p>
    <w:p>
      <w:pPr>
        <w:pStyle w:val="TextBody"/>
        <w:bidi w:val="0"/>
        <w:jc w:val="both"/>
        <w:rPr/>
      </w:pPr>
      <w:r>
        <w:rPr/>
        <w:t> </w:t>
      </w:r>
    </w:p>
    <w:tbl>
      <w:tblPr>
        <w:tblW w:w="8942" w:type="dxa"/>
        <w:jc w:val="left"/>
        <w:tblInd w:w="0" w:type="dxa"/>
        <w:tblLayout w:type="fixed"/>
        <w:tblCellMar>
          <w:top w:w="28" w:type="dxa"/>
          <w:left w:w="28" w:type="dxa"/>
          <w:bottom w:w="28" w:type="dxa"/>
          <w:right w:w="28" w:type="dxa"/>
        </w:tblCellMar>
      </w:tblPr>
      <w:tblGrid>
        <w:gridCol w:w="1276"/>
        <w:gridCol w:w="7666"/>
      </w:tblGrid>
      <w:tr>
        <w:trPr/>
        <w:tc>
          <w:tcPr>
            <w:tcW w:w="1276" w:type="dxa"/>
            <w:tcBorders/>
            <w:vAlign w:val="center"/>
          </w:tcPr>
          <w:p>
            <w:pPr>
              <w:pStyle w:val="TableContents"/>
              <w:bidi w:val="0"/>
              <w:spacing w:before="0" w:after="283"/>
              <w:jc w:val="left"/>
              <w:rPr>
                <w:sz w:val="4"/>
                <w:szCs w:val="4"/>
              </w:rPr>
            </w:pPr>
            <w:r>
              <w:rPr>
                <w:sz w:val="4"/>
                <w:szCs w:val="4"/>
              </w:rPr>
            </w:r>
          </w:p>
        </w:tc>
        <w:tc>
          <w:tcPr>
            <w:tcW w:w="7666"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Exhibit 99.1</w:t>
            </w:r>
          </w:p>
        </w:tc>
        <w:tc>
          <w:tcPr>
            <w:tcW w:w="7666" w:type="dxa"/>
            <w:tcBorders/>
            <w:tcMar>
              <w:top w:w="0" w:type="dxa"/>
              <w:left w:w="0" w:type="dxa"/>
              <w:bottom w:w="0" w:type="dxa"/>
              <w:right w:w="0" w:type="dxa"/>
            </w:tcMar>
            <w:vAlign w:val="center"/>
          </w:tcPr>
          <w:p>
            <w:pPr>
              <w:pStyle w:val="TableContents"/>
              <w:bidi w:val="0"/>
              <w:spacing w:before="0" w:after="283"/>
              <w:jc w:val="left"/>
              <w:rPr/>
            </w:pPr>
            <w:hyperlink w:anchor="oesx-ex99_1.htm">
              <w:r>
                <w:rPr>
                  <w:rStyle w:val="InternetLink"/>
                  <w:rFonts w:ascii="Times New Roman" w:hAnsi="Times New Roman"/>
                  <w:color w:val="0000FF"/>
                  <w:sz w:val="20"/>
                  <w:u w:val="single"/>
                </w:rPr>
                <w:t>Exhibit 99.1 Press Release of Orion Energy Systems, Inc. dated August 5, 2026</w:t>
              </w:r>
            </w:hyperlink>
          </w:p>
        </w:tc>
      </w:tr>
      <w:tr>
        <w:trPr/>
        <w:tc>
          <w:tcPr>
            <w:tcW w:w="127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Exhibit 104</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Cover Page Interactive Data File (embedded within the Inline XBRL document).</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SIGNATURES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5852" w:type="dxa"/>
        <w:jc w:val="left"/>
        <w:tblInd w:w="0" w:type="dxa"/>
        <w:tblLayout w:type="fixed"/>
        <w:tblCellMar>
          <w:top w:w="28" w:type="dxa"/>
          <w:left w:w="28" w:type="dxa"/>
          <w:bottom w:w="28" w:type="dxa"/>
          <w:right w:w="28" w:type="dxa"/>
        </w:tblCellMar>
      </w:tblPr>
      <w:tblGrid>
        <w:gridCol w:w="2161"/>
        <w:gridCol w:w="3691"/>
      </w:tblGrid>
      <w:tr>
        <w:trPr/>
        <w:tc>
          <w:tcPr>
            <w:tcW w:w="2161" w:type="dxa"/>
            <w:tcBorders/>
            <w:vAlign w:val="center"/>
          </w:tcPr>
          <w:p>
            <w:pPr>
              <w:pStyle w:val="TableContents"/>
              <w:bidi w:val="0"/>
              <w:spacing w:before="0" w:after="283"/>
              <w:jc w:val="left"/>
              <w:rPr>
                <w:sz w:val="4"/>
                <w:szCs w:val="4"/>
              </w:rPr>
            </w:pPr>
            <w:r>
              <w:rPr>
                <w:sz w:val="4"/>
                <w:szCs w:val="4"/>
              </w:rPr>
            </w:r>
          </w:p>
        </w:tc>
        <w:tc>
          <w:tcPr>
            <w:tcW w:w="3691" w:type="dxa"/>
            <w:tcBorders/>
            <w:vAlign w:val="center"/>
          </w:tcPr>
          <w:p>
            <w:pPr>
              <w:pStyle w:val="TableContents"/>
              <w:bidi w:val="0"/>
              <w:spacing w:before="0" w:after="283"/>
              <w:ind w:left="0" w:right="0" w:firstLine="30"/>
              <w:jc w:val="left"/>
              <w:rPr>
                <w:sz w:val="4"/>
                <w:szCs w:val="4"/>
              </w:rPr>
            </w:pPr>
            <w:r>
              <w:rPr>
                <w:sz w:val="4"/>
                <w:szCs w:val="4"/>
              </w:rPr>
            </w:r>
          </w:p>
        </w:tc>
      </w:tr>
      <w:tr>
        <w:trPr/>
        <w:tc>
          <w:tcPr>
            <w:tcW w:w="216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369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b/>
                <w:color w:val="000000"/>
                <w:sz w:val="22"/>
              </w:rPr>
            </w:pPr>
            <w:r>
              <w:rPr>
                <w:rFonts w:ascii="Times New Roman" w:hAnsi="Times New Roman"/>
                <w:b/>
                <w:color w:val="000000"/>
                <w:sz w:val="22"/>
              </w:rPr>
              <w:t>ORION ENERGY SYSTEMS, INC.</w:t>
            </w:r>
          </w:p>
        </w:tc>
      </w:tr>
      <w:tr>
        <w:trPr/>
        <w:tc>
          <w:tcPr>
            <w:tcW w:w="216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2"/>
              </w:rPr>
            </w:pPr>
            <w:r>
              <w:rPr>
                <w:rFonts w:ascii="Times New Roman" w:hAnsi="Times New Roman"/>
                <w:color w:val="000000"/>
                <w:sz w:val="22"/>
              </w:rPr>
              <w:t>Date: August 5, 2026</w:t>
            </w:r>
          </w:p>
        </w:tc>
        <w:tc>
          <w:tcPr>
            <w:tcW w:w="369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2"/>
              </w:rPr>
            </w:pPr>
            <w:r>
              <w:rPr>
                <w:rFonts w:ascii="Times New Roman" w:hAnsi="Times New Roman"/>
                <w:color w:val="000000"/>
                <w:sz w:val="22"/>
              </w:rPr>
              <w:t>By: /s/ J. Per Brodin</w:t>
            </w:r>
          </w:p>
        </w:tc>
      </w:tr>
      <w:tr>
        <w:trPr/>
        <w:tc>
          <w:tcPr>
            <w:tcW w:w="216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369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2"/>
              </w:rPr>
            </w:pPr>
            <w:r>
              <w:rPr>
                <w:rFonts w:ascii="Times New Roman" w:hAnsi="Times New Roman"/>
                <w:color w:val="000000"/>
                <w:sz w:val="22"/>
              </w:rPr>
              <w:t>J. Per Brodin</w:t>
            </w:r>
          </w:p>
        </w:tc>
      </w:tr>
      <w:tr>
        <w:trPr/>
        <w:tc>
          <w:tcPr>
            <w:tcW w:w="216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369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2"/>
              </w:rPr>
            </w:pPr>
            <w:r>
              <w:rPr>
                <w:rFonts w:ascii="Times New Roman" w:hAnsi="Times New Roman"/>
                <w:color w:val="000000"/>
                <w:sz w:val="22"/>
              </w:rPr>
              <w:t>Chief Financial Officer</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spacing w:before="0" w:after="5"/>
        <w:jc w:val="left"/>
        <w:rPr/>
      </w:pPr>
      <w:bookmarkStart w:id="6" w:name="oesx-ex99_1.htm"/>
      <w:bookmarkStart w:id="7" w:name="ksoesxex99_1"/>
      <w:bookmarkEnd w:id="6"/>
      <w:bookmarkEnd w:id="7"/>
      <w:r>
        <w:rPr/>
        <w:drawing>
          <wp:inline distT="0" distB="0" distL="0" distR="0">
            <wp:extent cx="1781175" cy="400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81175" cy="400050"/>
                    </a:xfrm>
                    <a:prstGeom prst="rect">
                      <a:avLst/>
                    </a:prstGeom>
                  </pic:spPr>
                </pic:pic>
              </a:graphicData>
            </a:graphic>
          </wp:inline>
        </w:drawing>
      </w:r>
      <w:r>
        <w:rPr>
          <w:color w:val="000000"/>
        </w:rPr>
        <w:t xml:space="preserve"> </w:t>
      </w:r>
      <w:r>
        <w:br w:type="page"/>
      </w:r>
    </w:p>
    <w:p>
      <w:pPr>
        <w:pStyle w:val="TextBody"/>
        <w:bidi w:val="0"/>
        <w:spacing w:before="0" w:after="17"/>
        <w:jc w:val="center"/>
        <w:rPr>
          <w:rFonts w:ascii="sans-serif" w:hAnsi="sans-serif"/>
          <w:b/>
          <w:color w:val="000000"/>
          <w:sz w:val="24"/>
        </w:rPr>
      </w:pPr>
      <w:r>
        <w:rPr>
          <w:rFonts w:ascii="sans-serif" w:hAnsi="sans-serif"/>
          <w:b/>
          <w:color w:val="000000"/>
          <w:sz w:val="24"/>
        </w:rPr>
        <w:t>Orion Reports First Quarter Financial Results:</w:t>
      </w:r>
    </w:p>
    <w:p>
      <w:pPr>
        <w:pStyle w:val="TextBody"/>
        <w:bidi w:val="0"/>
        <w:spacing w:before="0" w:after="17"/>
        <w:jc w:val="center"/>
        <w:rPr>
          <w:rFonts w:ascii="sans-serif" w:hAnsi="sans-serif"/>
          <w:b/>
          <w:color w:val="000000"/>
          <w:sz w:val="24"/>
        </w:rPr>
      </w:pPr>
      <w:r>
        <w:rPr>
          <w:rFonts w:ascii="sans-serif" w:hAnsi="sans-serif"/>
          <w:b/>
          <w:color w:val="000000"/>
          <w:sz w:val="24"/>
        </w:rPr>
        <w:t>Revenue Increases 32% to 25.7M, Net Income at $2M</w:t>
      </w:r>
    </w:p>
    <w:p>
      <w:pPr>
        <w:pStyle w:val="TextBody"/>
        <w:bidi w:val="0"/>
        <w:spacing w:before="0" w:after="17"/>
        <w:jc w:val="center"/>
        <w:rPr/>
      </w:pPr>
      <w:r>
        <w:rPr/>
        <w:t> </w:t>
      </w:r>
    </w:p>
    <w:p>
      <w:pPr>
        <w:pStyle w:val="TextBody"/>
        <w:bidi w:val="0"/>
        <w:spacing w:before="0" w:after="5"/>
        <w:jc w:val="left"/>
        <w:rPr>
          <w:rFonts w:ascii="Times New Roman" w:hAnsi="Times New Roman"/>
          <w:sz w:val="20"/>
        </w:rPr>
      </w:pPr>
      <w:r>
        <w:rPr>
          <w:rFonts w:ascii="sans-serif" w:hAnsi="sans-serif"/>
          <w:b/>
          <w:color w:val="000000"/>
          <w:sz w:val="21"/>
        </w:rPr>
        <w:t>Manitowoc, WI – August 5, 2026 – Orion Energy Systems, Inc.</w:t>
      </w:r>
      <w:r>
        <w:rPr>
          <w:rFonts w:ascii="Times New Roman" w:hAnsi="Times New Roman"/>
          <w:color w:val="000000"/>
          <w:sz w:val="20"/>
        </w:rPr>
        <w:t xml:space="preserve"> </w:t>
      </w:r>
      <w:r>
        <w:rPr>
          <w:rFonts w:ascii="sans-serif" w:hAnsi="sans-serif"/>
          <w:color w:val="000000"/>
          <w:sz w:val="21"/>
        </w:rPr>
        <w:t>(NASDAQ: OESX) (</w:t>
      </w:r>
      <w:r>
        <w:rPr>
          <w:rFonts w:ascii="sans-serif" w:hAnsi="sans-serif"/>
          <w:color w:val="000000"/>
          <w:sz w:val="21"/>
          <w:u w:val="single"/>
        </w:rPr>
        <w:t>Orion Lighting</w:t>
      </w:r>
      <w:r>
        <w:rPr>
          <w:rFonts w:ascii="sans-serif" w:hAnsi="sans-serif"/>
          <w:color w:val="000000"/>
          <w:sz w:val="21"/>
        </w:rPr>
        <w:t>), a provider of energy-efficient LED lighting, electric vehicle (EV) charging stations and maintenance services solutions, today reported results for its fiscal 2027 first quarter (Q1’27) ended June 30, 2026.</w:t>
      </w:r>
    </w:p>
    <w:p>
      <w:pPr>
        <w:pStyle w:val="TextBody"/>
        <w:bidi w:val="0"/>
        <w:spacing w:before="0" w:after="5"/>
        <w:jc w:val="left"/>
        <w:rPr/>
      </w:pPr>
      <w:r>
        <w:rPr/>
        <w:t> </w:t>
      </w:r>
    </w:p>
    <w:p>
      <w:pPr>
        <w:pStyle w:val="TextBody"/>
        <w:bidi w:val="0"/>
        <w:spacing w:before="0" w:after="5"/>
        <w:jc w:val="left"/>
        <w:rPr>
          <w:rFonts w:ascii="Times New Roman" w:hAnsi="Times New Roman"/>
          <w:sz w:val="20"/>
        </w:rPr>
      </w:pPr>
      <w:r>
        <w:rPr>
          <w:rFonts w:ascii="sans-serif" w:hAnsi="sans-serif"/>
          <w:color w:val="000000"/>
          <w:sz w:val="21"/>
        </w:rPr>
        <w:t>Orion’s Q1’27 revenue was $25.7M versus $19.6M in Q1’26 up 32%, while Q1’27 gross margin was up by 450 basis points year-over-year at 34.6% versus 30.1% in Q1’26. The Company achieved net income of $2.0M in Q1’27, compared to a net loss of $1.2M in Q1’26. The Company achieved Q1’27 adjusted EBITDA of $2.5M — marking its seventh consecutive quarter of positive adjusted EBITDA – compared to adjusted EBITDA of $0.2M in Q1’26.</w:t>
      </w:r>
      <w:r>
        <w:rPr>
          <w:rFonts w:ascii="Times New Roman" w:hAnsi="Times New Roman"/>
          <w:color w:val="000000"/>
          <w:sz w:val="20"/>
        </w:rPr>
        <w:t xml:space="preserve"> </w:t>
      </w:r>
    </w:p>
    <w:p>
      <w:pPr>
        <w:pStyle w:val="TextBody"/>
        <w:bidi w:val="0"/>
        <w:spacing w:before="0" w:after="5"/>
        <w:jc w:val="left"/>
        <w:rPr/>
      </w:pPr>
      <w:r>
        <w:rPr/>
        <w:t> </w:t>
      </w:r>
    </w:p>
    <w:p>
      <w:pPr>
        <w:pStyle w:val="TextBody"/>
        <w:bidi w:val="0"/>
        <w:spacing w:before="0" w:after="5"/>
        <w:jc w:val="left"/>
        <w:rPr>
          <w:color w:val="000000"/>
        </w:rPr>
      </w:pPr>
      <w:r>
        <w:rPr>
          <w:color w:val="000000"/>
        </w:rPr>
        <w:t>“</w:t>
      </w:r>
      <w:r>
        <w:rPr>
          <w:rFonts w:ascii="sans-serif" w:hAnsi="sans-serif"/>
          <w:color w:val="000000"/>
          <w:sz w:val="21"/>
        </w:rPr>
        <w:t>Orion is on a path of profitable growth, increasing profitability and continued market expansion in FY’27,” said Orion’s Chief Executive Officer, Sally Washlow. “Today’s results for Q1’27 — our seventh straight quarter of positive adjusted EBITDA — demonstrate that we are advancing on that path.”</w:t>
      </w:r>
    </w:p>
    <w:p>
      <w:pPr>
        <w:pStyle w:val="TextBody"/>
        <w:bidi w:val="0"/>
        <w:spacing w:before="0" w:after="5"/>
        <w:jc w:val="left"/>
        <w:rPr/>
      </w:pPr>
      <w:r>
        <w:rPr/>
        <w:t> </w:t>
      </w:r>
    </w:p>
    <w:p>
      <w:pPr>
        <w:pStyle w:val="TextBody"/>
        <w:bidi w:val="0"/>
        <w:spacing w:before="0" w:after="5"/>
        <w:jc w:val="left"/>
        <w:rPr>
          <w:rFonts w:ascii="sans-serif" w:hAnsi="sans-serif"/>
          <w:color w:val="000000"/>
          <w:sz w:val="21"/>
        </w:rPr>
      </w:pPr>
      <w:r>
        <w:rPr>
          <w:rFonts w:ascii="sans-serif" w:hAnsi="sans-serif"/>
          <w:color w:val="000000"/>
          <w:sz w:val="21"/>
        </w:rPr>
        <w:t>Ms. Washlow pointed to growth drivers ranging from Orion’s expanding business within large customers to a multimillion-dollar entry into the burgeoning hyper-scale data center market to an array of new Orion offerings introduced to the marketplace in recent months.</w:t>
      </w:r>
    </w:p>
    <w:p>
      <w:pPr>
        <w:pStyle w:val="TextBody"/>
        <w:bidi w:val="0"/>
        <w:spacing w:before="0" w:after="5"/>
        <w:jc w:val="left"/>
        <w:rPr/>
      </w:pPr>
      <w:r>
        <w:rPr/>
        <w:t> </w:t>
      </w:r>
    </w:p>
    <w:p>
      <w:pPr>
        <w:pStyle w:val="TextBody"/>
        <w:bidi w:val="0"/>
        <w:jc w:val="left"/>
        <w:rPr/>
      </w:pPr>
      <w:r>
        <w:rPr>
          <w:color w:val="000000"/>
        </w:rPr>
        <w:t>“</w:t>
      </w:r>
      <w:r>
        <w:rPr>
          <w:rFonts w:ascii="sans-serif" w:hAnsi="sans-serif"/>
          <w:color w:val="000000"/>
          <w:sz w:val="22"/>
        </w:rPr>
        <w:t>Product and service introductions show continued traction, ranging from LED Lighting for hyper-scale data centers to Battery Storage and Electrical Contracting,” said Ms. Washlow. “We have similarly high aspirations for our newly introduced LED Roadway product designed for public roads.”</w:t>
      </w:r>
    </w:p>
    <w:p>
      <w:pPr>
        <w:pStyle w:val="TextBody"/>
        <w:bidi w:val="0"/>
        <w:jc w:val="left"/>
        <w:rPr/>
      </w:pPr>
      <w:r>
        <w:rPr/>
        <w:t> </w:t>
      </w:r>
    </w:p>
    <w:p>
      <w:pPr>
        <w:pStyle w:val="TextBody"/>
        <w:bidi w:val="0"/>
        <w:spacing w:before="0" w:after="5"/>
        <w:jc w:val="left"/>
        <w:rPr>
          <w:rFonts w:ascii="Times New Roman" w:hAnsi="Times New Roman"/>
          <w:sz w:val="20"/>
        </w:rPr>
      </w:pPr>
      <w:r>
        <w:rPr>
          <w:rFonts w:ascii="sans-serif" w:hAnsi="sans-serif"/>
          <w:color w:val="000000"/>
          <w:sz w:val="21"/>
        </w:rPr>
        <w:t xml:space="preserve">Ms. Washlow also cited Orion’s strengthening capabilities, such as a newly installed ERP system designed to scale with the Company’s expected growth. She also noted its </w:t>
      </w:r>
      <w:r>
        <w:rPr>
          <w:rFonts w:ascii="sans-serif" w:hAnsi="sans-serif"/>
          <w:color w:val="000000"/>
          <w:sz w:val="22"/>
        </w:rPr>
        <w:t>unsurpassed proprietary supply chain reliability, quality control and domestic sourcing compliance which are critical for government contracts, federal incentives and Buy American compliance.</w:t>
      </w:r>
    </w:p>
    <w:p>
      <w:pPr>
        <w:pStyle w:val="TextBody"/>
        <w:bidi w:val="0"/>
        <w:spacing w:before="0" w:after="5"/>
        <w:jc w:val="left"/>
        <w:rPr/>
      </w:pPr>
      <w:r>
        <w:rPr/>
        <w:t> </w:t>
      </w:r>
    </w:p>
    <w:p>
      <w:pPr>
        <w:pStyle w:val="TextBody"/>
        <w:bidi w:val="0"/>
        <w:spacing w:before="0" w:after="5"/>
        <w:jc w:val="left"/>
        <w:rPr>
          <w:rFonts w:ascii="sans-serif" w:hAnsi="sans-serif"/>
          <w:color w:val="000000"/>
          <w:sz w:val="21"/>
        </w:rPr>
      </w:pPr>
      <w:r>
        <w:rPr>
          <w:rFonts w:ascii="sans-serif" w:hAnsi="sans-serif"/>
          <w:color w:val="000000"/>
          <w:sz w:val="21"/>
        </w:rPr>
        <w:t>Orion is scheduled to discuss these results in an investor call today at 10:00 a.m. ET (details below).</w:t>
      </w:r>
    </w:p>
    <w:p>
      <w:pPr>
        <w:pStyle w:val="TextBody"/>
        <w:bidi w:val="0"/>
        <w:jc w:val="left"/>
        <w:rPr/>
      </w:pPr>
      <w:r>
        <w:rPr/>
        <w:t> </w:t>
      </w:r>
    </w:p>
    <w:p>
      <w:pPr>
        <w:pStyle w:val="TextBody"/>
        <w:bidi w:val="0"/>
        <w:spacing w:before="0" w:after="5"/>
        <w:jc w:val="left"/>
        <w:rPr/>
      </w:pPr>
      <w:r>
        <w:rPr/>
        <w:t> </w:t>
      </w:r>
    </w:p>
    <w:p>
      <w:pPr>
        <w:pStyle w:val="TextBody"/>
        <w:bidi w:val="0"/>
        <w:jc w:val="both"/>
        <w:rPr>
          <w:rFonts w:ascii="sans-serif" w:hAnsi="sans-serif"/>
          <w:b/>
          <w:color w:val="000000"/>
          <w:sz w:val="21"/>
        </w:rPr>
      </w:pPr>
      <w:r>
        <w:rPr>
          <w:rFonts w:ascii="sans-serif" w:hAnsi="sans-serif"/>
          <w:b/>
          <w:color w:val="000000"/>
          <w:sz w:val="21"/>
        </w:rPr>
        <w:t>Webcast and Call Details</w:t>
      </w:r>
    </w:p>
    <w:p>
      <w:pPr>
        <w:pStyle w:val="TextBody"/>
        <w:bidi w:val="0"/>
        <w:spacing w:before="0" w:after="5"/>
        <w:jc w:val="left"/>
        <w:rPr>
          <w:rFonts w:ascii="sans-serif" w:hAnsi="sans-serif"/>
          <w:color w:val="000000"/>
          <w:sz w:val="21"/>
        </w:rPr>
      </w:pPr>
      <w:r>
        <w:rPr>
          <w:rFonts w:ascii="sans-serif" w:hAnsi="sans-serif"/>
          <w:color w:val="000000"/>
          <w:sz w:val="21"/>
        </w:rPr>
        <w:t>Date / Time: Wednesday, August 5, 2026, at 10:00 a.m. ET</w:t>
      </w:r>
    </w:p>
    <w:p>
      <w:pPr>
        <w:pStyle w:val="TextBody"/>
        <w:bidi w:val="0"/>
        <w:spacing w:before="0" w:after="5"/>
        <w:jc w:val="left"/>
        <w:rPr>
          <w:rFonts w:ascii="Times New Roman" w:hAnsi="Times New Roman"/>
          <w:sz w:val="20"/>
        </w:rPr>
      </w:pPr>
      <w:r>
        <w:rPr>
          <w:rFonts w:ascii="sans-serif" w:hAnsi="sans-serif"/>
          <w:color w:val="000000"/>
          <w:sz w:val="21"/>
        </w:rPr>
        <w:t xml:space="preserve">Live Call Registration: </w:t>
      </w:r>
      <w:r>
        <w:rPr>
          <w:rFonts w:ascii="sans-serif" w:hAnsi="sans-serif"/>
          <w:color w:val="000000"/>
          <w:sz w:val="21"/>
          <w:u w:val="single"/>
        </w:rPr>
        <w:t>https://register-conf.media-server.com/register/BI9310cd50094241a1a190c4035fc8e3f6</w:t>
      </w:r>
    </w:p>
    <w:p>
      <w:pPr>
        <w:pStyle w:val="TextBody"/>
        <w:bidi w:val="0"/>
        <w:spacing w:before="0" w:after="5"/>
        <w:jc w:val="left"/>
        <w:rPr>
          <w:rFonts w:ascii="Times New Roman" w:hAnsi="Times New Roman"/>
          <w:sz w:val="20"/>
        </w:rPr>
      </w:pPr>
      <w:r>
        <w:rPr>
          <w:rFonts w:ascii="sans-serif" w:hAnsi="sans-serif"/>
          <w:color w:val="000000"/>
          <w:sz w:val="21"/>
        </w:rPr>
        <w:t>Live call participants must pre-register using the URL above to receive the dial-in information. Anyone can re-register if they lose the dial-in or PIN #.</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1"/>
        </w:rPr>
        <w:t>Webcast &amp; Replay:</w:t>
      </w:r>
      <w:r>
        <w:rPr>
          <w:rFonts w:ascii="Times New Roman" w:hAnsi="Times New Roman"/>
          <w:color w:val="000000"/>
          <w:sz w:val="20"/>
        </w:rPr>
        <w:t xml:space="preserve"> </w:t>
      </w:r>
      <w:r>
        <w:rPr>
          <w:rFonts w:ascii="sans-serif" w:hAnsi="sans-serif"/>
          <w:color w:val="000000"/>
          <w:sz w:val="21"/>
          <w:u w:val="single"/>
        </w:rPr>
        <w:t>https://register-conf.media-server.com/register/BI9310cd50094241a1a190c4035fc8e3f6</w:t>
      </w:r>
    </w:p>
    <w:p>
      <w:pPr>
        <w:pStyle w:val="TextBody"/>
        <w:bidi w:val="0"/>
        <w:jc w:val="left"/>
        <w:rPr/>
      </w:pPr>
      <w:r>
        <w:rPr/>
        <w:t> </w:t>
      </w:r>
    </w:p>
    <w:p>
      <w:pPr>
        <w:pStyle w:val="TextBody"/>
        <w:bidi w:val="0"/>
        <w:jc w:val="left"/>
        <w:rPr/>
      </w:pPr>
      <w:r>
        <w:rPr/>
        <w:t> </w:t>
      </w:r>
    </w:p>
    <w:p>
      <w:pPr>
        <w:pStyle w:val="TextBody"/>
        <w:bidi w:val="0"/>
        <w:spacing w:before="0" w:after="5"/>
        <w:jc w:val="both"/>
        <w:rPr/>
      </w:pPr>
      <w:r>
        <w:rPr/>
        <w:t> </w:t>
      </w:r>
    </w:p>
    <w:p>
      <w:pPr>
        <w:pStyle w:val="TextBody"/>
        <w:bidi w:val="0"/>
        <w:spacing w:before="0" w:after="5"/>
        <w:jc w:val="both"/>
        <w:rPr/>
      </w:pPr>
      <w:r>
        <w:rPr/>
        <w:t> </w:t>
      </w:r>
    </w:p>
    <w:p>
      <w:pPr>
        <w:pStyle w:val="TextBody"/>
        <w:bidi w:val="0"/>
        <w:spacing w:before="0" w:after="5"/>
        <w:jc w:val="both"/>
        <w:rPr/>
      </w:pPr>
      <w:r>
        <w:rPr/>
        <w:t> </w:t>
      </w:r>
    </w:p>
    <w:p>
      <w:pPr>
        <w:pStyle w:val="TextBody"/>
        <w:bidi w:val="0"/>
        <w:spacing w:before="0" w:after="5"/>
        <w:jc w:val="both"/>
        <w:rPr/>
      </w:pPr>
      <w:r>
        <w:rPr/>
        <w:t> </w:t>
      </w:r>
    </w:p>
    <w:p>
      <w:pPr>
        <w:pStyle w:val="TextBody"/>
        <w:bidi w:val="0"/>
        <w:spacing w:before="0" w:after="5"/>
        <w:jc w:val="both"/>
        <w:rPr/>
      </w:pPr>
      <w:r>
        <w:rPr/>
        <w:t> </w:t>
      </w:r>
    </w:p>
    <w:p>
      <w:pPr>
        <w:pStyle w:val="HorizontalLine"/>
        <w:pBdr>
          <w:bottom w:val="double" w:sz="2" w:space="0" w:color="808080"/>
        </w:pBdr>
        <w:bidi w:val="0"/>
        <w:spacing w:before="0" w:after="283"/>
        <w:jc w:val="left"/>
        <w:rPr/>
      </w:pPr>
      <w:r>
        <w:rPr/>
      </w:r>
    </w:p>
    <w:p>
      <w:pPr>
        <w:pStyle w:val="TextBody"/>
        <w:bidi w:val="0"/>
        <w:spacing w:before="0" w:after="5"/>
        <w:jc w:val="both"/>
        <w:rPr/>
      </w:pPr>
      <w:r>
        <w:rPr/>
        <w:t> </w:t>
      </w:r>
    </w:p>
    <w:p>
      <w:pPr>
        <w:pStyle w:val="TextBody"/>
        <w:bidi w:val="0"/>
        <w:spacing w:before="0" w:after="5"/>
        <w:jc w:val="both"/>
        <w:rPr>
          <w:rFonts w:ascii="sans-serif" w:hAnsi="sans-serif"/>
          <w:b/>
          <w:color w:val="000000"/>
          <w:sz w:val="21"/>
        </w:rPr>
      </w:pPr>
      <w:r>
        <w:rPr>
          <w:rFonts w:ascii="sans-serif" w:hAnsi="sans-serif"/>
          <w:b/>
          <w:color w:val="000000"/>
          <w:sz w:val="21"/>
        </w:rPr>
        <w:t>Q1'27 and Prior Three Quarters Financial Performance</w:t>
      </w:r>
    </w:p>
    <w:p>
      <w:pPr>
        <w:pStyle w:val="TextBody"/>
        <w:bidi w:val="0"/>
        <w:jc w:val="left"/>
        <w:rPr/>
      </w:pPr>
      <w:r>
        <w:rPr/>
        <w:t> </w:t>
      </w:r>
    </w:p>
    <w:p>
      <w:pPr>
        <w:pStyle w:val="TextBody"/>
        <w:bidi w:val="0"/>
        <w:spacing w:before="0" w:after="5"/>
        <w:jc w:val="left"/>
        <w:rPr/>
      </w:pPr>
      <w:r>
        <w:rPr/>
        <w:t> </w:t>
      </w:r>
    </w:p>
    <w:tbl>
      <w:tblPr>
        <w:tblW w:w="10205" w:type="dxa"/>
        <w:jc w:val="left"/>
        <w:tblInd w:w="0" w:type="dxa"/>
        <w:tblLayout w:type="fixed"/>
        <w:tblCellMar>
          <w:top w:w="28" w:type="dxa"/>
          <w:left w:w="28" w:type="dxa"/>
          <w:bottom w:w="28" w:type="dxa"/>
          <w:right w:w="28" w:type="dxa"/>
        </w:tblCellMar>
      </w:tblPr>
      <w:tblGrid>
        <w:gridCol w:w="3994"/>
        <w:gridCol w:w="962"/>
        <w:gridCol w:w="957"/>
        <w:gridCol w:w="1209"/>
        <w:gridCol w:w="124"/>
        <w:gridCol w:w="957"/>
        <w:gridCol w:w="876"/>
        <w:gridCol w:w="1126"/>
      </w:tblGrid>
      <w:tr>
        <w:trPr/>
        <w:tc>
          <w:tcPr>
            <w:tcW w:w="3994"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ind w:left="0" w:right="0" w:firstLine="10"/>
              <w:jc w:val="left"/>
              <w:rPr>
                <w:sz w:val="4"/>
                <w:szCs w:val="4"/>
              </w:rPr>
            </w:pPr>
            <w:r>
              <w:rPr>
                <w:sz w:val="4"/>
                <w:szCs w:val="4"/>
              </w:rPr>
            </w:r>
          </w:p>
        </w:tc>
      </w:tr>
      <w:tr>
        <w:trPr/>
        <w:tc>
          <w:tcPr>
            <w:tcW w:w="7122" w:type="dxa"/>
            <w:gridSpan w:val="4"/>
            <w:tcBorders>
              <w:top w:val="single" w:sz="4" w:space="0" w:color="000000"/>
              <w:left w:val="single" w:sz="4" w:space="0" w:color="000000"/>
              <w:bottom w:val="single" w:sz="4" w:space="0" w:color="000000"/>
              <w:right w:val="single" w:sz="4" w:space="0" w:color="000000"/>
            </w:tcBorders>
            <w:shd w:fill="F2F2F2" w:val="clear"/>
            <w:tcMar>
              <w:left w:w="115" w:type="dxa"/>
              <w:right w:w="115" w:type="dxa"/>
            </w:tcMar>
            <w:vAlign w:val="center"/>
          </w:tcPr>
          <w:p>
            <w:pPr>
              <w:pStyle w:val="TableContents"/>
              <w:bidi w:val="0"/>
              <w:spacing w:before="0" w:after="5"/>
              <w:ind w:left="0" w:right="0" w:firstLine="10"/>
              <w:jc w:val="center"/>
              <w:rPr>
                <w:rFonts w:ascii="sans-serif" w:hAnsi="sans-serif"/>
                <w:b/>
                <w:color w:val="000000"/>
                <w:sz w:val="21"/>
              </w:rPr>
            </w:pPr>
            <w:r>
              <w:rPr>
                <w:rFonts w:ascii="sans-serif" w:hAnsi="sans-serif"/>
                <w:b/>
                <w:color w:val="000000"/>
                <w:sz w:val="21"/>
              </w:rPr>
              <w:t>Q1 Financial Summary</w:t>
            </w:r>
          </w:p>
        </w:tc>
        <w:tc>
          <w:tcPr>
            <w:tcW w:w="124" w:type="dxa"/>
            <w:tcBorders>
              <w:top w:val="single" w:sz="4" w:space="0" w:color="000000"/>
            </w:tcBorders>
            <w:tcMar>
              <w:left w:w="0" w:type="dxa"/>
              <w:bottom w:w="0" w:type="dxa"/>
              <w:right w:w="0" w:type="dxa"/>
            </w:tcMar>
            <w:vAlign w:val="center"/>
          </w:tcPr>
          <w:p>
            <w:pPr>
              <w:pStyle w:val="TableContents"/>
              <w:bidi w:val="0"/>
              <w:spacing w:before="0" w:after="283"/>
              <w:ind w:left="0" w:right="0" w:firstLine="10"/>
              <w:jc w:val="left"/>
              <w:rPr>
                <w:sz w:val="4"/>
                <w:szCs w:val="4"/>
              </w:rPr>
            </w:pPr>
            <w:r>
              <w:rPr>
                <w:sz w:val="4"/>
                <w:szCs w:val="4"/>
              </w:rPr>
            </w:r>
          </w:p>
        </w:tc>
        <w:tc>
          <w:tcPr>
            <w:tcW w:w="2959" w:type="dxa"/>
            <w:gridSpan w:val="3"/>
            <w:tcBorders>
              <w:top w:val="single" w:sz="4" w:space="0" w:color="000000"/>
              <w:bottom w:val="single" w:sz="4" w:space="0" w:color="000000"/>
              <w:right w:val="single" w:sz="4" w:space="0" w:color="000000"/>
            </w:tcBorders>
            <w:shd w:fill="F2F2F2" w:val="clear"/>
            <w:tcMar>
              <w:left w:w="0" w:type="dxa"/>
              <w:right w:w="115" w:type="dxa"/>
            </w:tcMar>
            <w:vAlign w:val="center"/>
          </w:tcPr>
          <w:p>
            <w:pPr>
              <w:pStyle w:val="TableContents"/>
              <w:bidi w:val="0"/>
              <w:spacing w:before="0" w:after="5"/>
              <w:ind w:left="0" w:right="0" w:firstLine="10"/>
              <w:jc w:val="center"/>
              <w:rPr>
                <w:rFonts w:ascii="sans-serif" w:hAnsi="sans-serif"/>
                <w:color w:val="000000"/>
                <w:sz w:val="21"/>
              </w:rPr>
            </w:pPr>
            <w:r>
              <w:rPr>
                <w:rFonts w:ascii="sans-serif" w:hAnsi="sans-serif"/>
                <w:color w:val="000000"/>
                <w:sz w:val="21"/>
              </w:rPr>
              <w:t>Prior Three Quarters</w:t>
            </w:r>
          </w:p>
        </w:tc>
      </w:tr>
      <w:tr>
        <w:trPr/>
        <w:tc>
          <w:tcPr>
            <w:tcW w:w="3994"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5"/>
              <w:ind w:left="0" w:right="0" w:firstLine="10"/>
              <w:jc w:val="left"/>
              <w:rPr>
                <w:rFonts w:ascii="sans-serif" w:hAnsi="sans-serif"/>
                <w:color w:val="000000"/>
                <w:sz w:val="21"/>
              </w:rPr>
            </w:pPr>
            <w:r>
              <w:rPr>
                <w:rFonts w:ascii="sans-serif" w:hAnsi="sans-serif"/>
                <w:color w:val="000000"/>
                <w:sz w:val="21"/>
              </w:rPr>
              <w:t>$ in millions except per share figures</w:t>
            </w:r>
          </w:p>
        </w:tc>
        <w:tc>
          <w:tcPr>
            <w:tcW w:w="9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b/>
                <w:color w:val="000000"/>
                <w:sz w:val="21"/>
              </w:rPr>
            </w:pPr>
            <w:r>
              <w:rPr>
                <w:rFonts w:ascii="sans-serif" w:hAnsi="sans-serif"/>
                <w:b/>
                <w:color w:val="000000"/>
                <w:sz w:val="21"/>
              </w:rPr>
              <w:t>Q1’27</w:t>
            </w:r>
          </w:p>
        </w:tc>
        <w:tc>
          <w:tcPr>
            <w:tcW w:w="95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color w:val="000000"/>
                <w:sz w:val="21"/>
              </w:rPr>
            </w:pPr>
            <w:r>
              <w:rPr>
                <w:rFonts w:ascii="sans-serif" w:hAnsi="sans-serif"/>
                <w:color w:val="000000"/>
                <w:sz w:val="21"/>
              </w:rPr>
              <w:t>Q1’26</w:t>
            </w:r>
          </w:p>
        </w:tc>
        <w:tc>
          <w:tcPr>
            <w:tcW w:w="120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color w:val="000000"/>
                <w:sz w:val="21"/>
              </w:rPr>
            </w:pPr>
            <w:r>
              <w:rPr>
                <w:rFonts w:ascii="sans-serif" w:hAnsi="sans-serif"/>
                <w:color w:val="000000"/>
                <w:sz w:val="21"/>
              </w:rPr>
              <w:t>Change</w:t>
            </w:r>
          </w:p>
        </w:tc>
        <w:tc>
          <w:tcPr>
            <w:tcW w:w="12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
              <w:jc w:val="left"/>
              <w:rPr>
                <w:sz w:val="4"/>
                <w:szCs w:val="4"/>
              </w:rPr>
            </w:pPr>
            <w:r>
              <w:rPr>
                <w:sz w:val="4"/>
                <w:szCs w:val="4"/>
              </w:rPr>
            </w:r>
          </w:p>
        </w:tc>
        <w:tc>
          <w:tcPr>
            <w:tcW w:w="95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color w:val="000000"/>
                <w:sz w:val="21"/>
              </w:rPr>
            </w:pPr>
            <w:r>
              <w:rPr>
                <w:rFonts w:ascii="sans-serif" w:hAnsi="sans-serif"/>
                <w:color w:val="000000"/>
                <w:sz w:val="21"/>
              </w:rPr>
              <w:t>Q4'26</w:t>
            </w:r>
          </w:p>
        </w:tc>
        <w:tc>
          <w:tcPr>
            <w:tcW w:w="8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color w:val="000000"/>
                <w:sz w:val="21"/>
              </w:rPr>
            </w:pPr>
            <w:r>
              <w:rPr>
                <w:rFonts w:ascii="sans-serif" w:hAnsi="sans-serif"/>
                <w:color w:val="000000"/>
                <w:sz w:val="21"/>
              </w:rPr>
              <w:t>Q3’26</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color w:val="000000"/>
                <w:sz w:val="21"/>
              </w:rPr>
            </w:pPr>
            <w:r>
              <w:rPr>
                <w:rFonts w:ascii="sans-serif" w:hAnsi="sans-serif"/>
                <w:color w:val="000000"/>
                <w:sz w:val="21"/>
              </w:rPr>
              <w:t>Q2'26</w:t>
            </w:r>
          </w:p>
        </w:tc>
      </w:tr>
      <w:tr>
        <w:trPr/>
        <w:tc>
          <w:tcPr>
            <w:tcW w:w="3994"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5"/>
              <w:ind w:left="0" w:right="0" w:firstLine="10"/>
              <w:jc w:val="left"/>
              <w:rPr>
                <w:rFonts w:ascii="sans-serif" w:hAnsi="sans-serif"/>
                <w:color w:val="000000"/>
                <w:sz w:val="21"/>
              </w:rPr>
            </w:pPr>
            <w:r>
              <w:rPr>
                <w:rFonts w:ascii="sans-serif" w:hAnsi="sans-serif"/>
                <w:color w:val="000000"/>
                <w:sz w:val="21"/>
              </w:rPr>
              <w:t>LED Lighting Revenue</w:t>
            </w:r>
          </w:p>
        </w:tc>
        <w:tc>
          <w:tcPr>
            <w:tcW w:w="9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b/>
                <w:color w:val="000000"/>
                <w:sz w:val="21"/>
              </w:rPr>
            </w:pPr>
            <w:r>
              <w:rPr>
                <w:rFonts w:ascii="sans-serif" w:hAnsi="sans-serif"/>
                <w:b/>
                <w:color w:val="000000"/>
                <w:sz w:val="21"/>
              </w:rPr>
              <w:t>$17.7</w:t>
            </w:r>
          </w:p>
        </w:tc>
        <w:tc>
          <w:tcPr>
            <w:tcW w:w="95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color w:val="000000"/>
                <w:sz w:val="21"/>
              </w:rPr>
            </w:pPr>
            <w:r>
              <w:rPr>
                <w:rFonts w:ascii="sans-serif" w:hAnsi="sans-serif"/>
                <w:color w:val="000000"/>
                <w:sz w:val="21"/>
              </w:rPr>
              <w:t>$12.9</w:t>
            </w:r>
          </w:p>
        </w:tc>
        <w:tc>
          <w:tcPr>
            <w:tcW w:w="120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color w:val="000000"/>
                <w:sz w:val="21"/>
              </w:rPr>
            </w:pPr>
            <w:r>
              <w:rPr>
                <w:rFonts w:ascii="sans-serif" w:hAnsi="sans-serif"/>
                <w:color w:val="000000"/>
                <w:sz w:val="21"/>
              </w:rPr>
              <w:t>37%</w:t>
            </w:r>
          </w:p>
        </w:tc>
        <w:tc>
          <w:tcPr>
            <w:tcW w:w="12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
              <w:jc w:val="left"/>
              <w:rPr>
                <w:sz w:val="4"/>
                <w:szCs w:val="4"/>
              </w:rPr>
            </w:pPr>
            <w:r>
              <w:rPr>
                <w:sz w:val="4"/>
                <w:szCs w:val="4"/>
              </w:rPr>
            </w:r>
          </w:p>
        </w:tc>
        <w:tc>
          <w:tcPr>
            <w:tcW w:w="95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color w:val="000000"/>
                <w:sz w:val="21"/>
              </w:rPr>
            </w:pPr>
            <w:r>
              <w:rPr>
                <w:rFonts w:ascii="sans-serif" w:hAnsi="sans-serif"/>
                <w:color w:val="000000"/>
                <w:sz w:val="21"/>
              </w:rPr>
              <w:t>$20.3</w:t>
            </w:r>
          </w:p>
        </w:tc>
        <w:tc>
          <w:tcPr>
            <w:tcW w:w="8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color w:val="000000"/>
                <w:sz w:val="21"/>
              </w:rPr>
            </w:pPr>
            <w:r>
              <w:rPr>
                <w:rFonts w:ascii="sans-serif" w:hAnsi="sans-serif"/>
                <w:color w:val="000000"/>
                <w:sz w:val="21"/>
              </w:rPr>
              <w:t>$12.1</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color w:val="000000"/>
                <w:sz w:val="21"/>
              </w:rPr>
            </w:pPr>
            <w:r>
              <w:rPr>
                <w:rFonts w:ascii="sans-serif" w:hAnsi="sans-serif"/>
                <w:color w:val="000000"/>
                <w:sz w:val="21"/>
              </w:rPr>
              <w:t>$10.7</w:t>
            </w:r>
          </w:p>
        </w:tc>
      </w:tr>
      <w:tr>
        <w:trPr/>
        <w:tc>
          <w:tcPr>
            <w:tcW w:w="3994"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5"/>
              <w:ind w:left="0" w:right="0" w:firstLine="10"/>
              <w:jc w:val="left"/>
              <w:rPr>
                <w:rFonts w:ascii="sans-serif" w:hAnsi="sans-serif"/>
                <w:color w:val="000000"/>
                <w:sz w:val="21"/>
              </w:rPr>
            </w:pPr>
            <w:r>
              <w:rPr>
                <w:rFonts w:ascii="sans-serif" w:hAnsi="sans-serif"/>
                <w:color w:val="000000"/>
                <w:sz w:val="21"/>
              </w:rPr>
              <w:t>EV Charging Revenue</w:t>
            </w:r>
          </w:p>
        </w:tc>
        <w:tc>
          <w:tcPr>
            <w:tcW w:w="9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b/>
                <w:color w:val="000000"/>
                <w:sz w:val="21"/>
              </w:rPr>
            </w:pPr>
            <w:r>
              <w:rPr>
                <w:rFonts w:ascii="sans-serif" w:hAnsi="sans-serif"/>
                <w:b/>
                <w:color w:val="000000"/>
                <w:sz w:val="21"/>
              </w:rPr>
              <w:t>$4.0</w:t>
            </w:r>
          </w:p>
        </w:tc>
        <w:tc>
          <w:tcPr>
            <w:tcW w:w="95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color w:val="000000"/>
                <w:sz w:val="21"/>
              </w:rPr>
            </w:pPr>
            <w:r>
              <w:rPr>
                <w:rFonts w:ascii="sans-serif" w:hAnsi="sans-serif"/>
                <w:color w:val="000000"/>
                <w:sz w:val="21"/>
              </w:rPr>
              <w:t>$2.7</w:t>
            </w:r>
          </w:p>
        </w:tc>
        <w:tc>
          <w:tcPr>
            <w:tcW w:w="120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color w:val="000000"/>
                <w:sz w:val="21"/>
              </w:rPr>
            </w:pPr>
            <w:r>
              <w:rPr>
                <w:rFonts w:ascii="sans-serif" w:hAnsi="sans-serif"/>
                <w:color w:val="000000"/>
                <w:sz w:val="21"/>
              </w:rPr>
              <w:t>48%</w:t>
            </w:r>
          </w:p>
        </w:tc>
        <w:tc>
          <w:tcPr>
            <w:tcW w:w="12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
              <w:jc w:val="left"/>
              <w:rPr>
                <w:sz w:val="4"/>
                <w:szCs w:val="4"/>
              </w:rPr>
            </w:pPr>
            <w:r>
              <w:rPr>
                <w:sz w:val="4"/>
                <w:szCs w:val="4"/>
              </w:rPr>
            </w:r>
          </w:p>
        </w:tc>
        <w:tc>
          <w:tcPr>
            <w:tcW w:w="95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color w:val="000000"/>
                <w:sz w:val="21"/>
              </w:rPr>
            </w:pPr>
            <w:r>
              <w:rPr>
                <w:rFonts w:ascii="sans-serif" w:hAnsi="sans-serif"/>
                <w:color w:val="000000"/>
                <w:sz w:val="21"/>
              </w:rPr>
              <w:t>$2.3</w:t>
            </w:r>
          </w:p>
        </w:tc>
        <w:tc>
          <w:tcPr>
            <w:tcW w:w="8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color w:val="000000"/>
                <w:sz w:val="21"/>
              </w:rPr>
            </w:pPr>
            <w:r>
              <w:rPr>
                <w:rFonts w:ascii="sans-serif" w:hAnsi="sans-serif"/>
                <w:color w:val="000000"/>
                <w:sz w:val="21"/>
              </w:rPr>
              <w:t>$4.7</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color w:val="000000"/>
                <w:sz w:val="21"/>
              </w:rPr>
            </w:pPr>
            <w:r>
              <w:rPr>
                <w:rFonts w:ascii="sans-serif" w:hAnsi="sans-serif"/>
                <w:color w:val="000000"/>
                <w:sz w:val="21"/>
              </w:rPr>
              <w:t>$4.8</w:t>
            </w:r>
          </w:p>
        </w:tc>
      </w:tr>
      <w:tr>
        <w:trPr/>
        <w:tc>
          <w:tcPr>
            <w:tcW w:w="3994"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5"/>
              <w:ind w:left="0" w:right="0" w:firstLine="10"/>
              <w:jc w:val="left"/>
              <w:rPr>
                <w:rFonts w:ascii="sans-serif" w:hAnsi="sans-serif"/>
                <w:color w:val="000000"/>
                <w:sz w:val="21"/>
              </w:rPr>
            </w:pPr>
            <w:r>
              <w:rPr>
                <w:rFonts w:ascii="sans-serif" w:hAnsi="sans-serif"/>
                <w:color w:val="000000"/>
                <w:sz w:val="21"/>
              </w:rPr>
              <w:t>Maintenance Revenue</w:t>
            </w:r>
          </w:p>
        </w:tc>
        <w:tc>
          <w:tcPr>
            <w:tcW w:w="9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b/>
                <w:color w:val="000000"/>
                <w:sz w:val="21"/>
              </w:rPr>
            </w:pPr>
            <w:r>
              <w:rPr>
                <w:rFonts w:ascii="sans-serif" w:hAnsi="sans-serif"/>
                <w:b/>
                <w:color w:val="000000"/>
                <w:sz w:val="21"/>
              </w:rPr>
              <w:t>$4.1</w:t>
            </w:r>
          </w:p>
        </w:tc>
        <w:tc>
          <w:tcPr>
            <w:tcW w:w="95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color w:val="000000"/>
                <w:sz w:val="21"/>
              </w:rPr>
            </w:pPr>
            <w:r>
              <w:rPr>
                <w:rFonts w:ascii="sans-serif" w:hAnsi="sans-serif"/>
                <w:color w:val="000000"/>
                <w:sz w:val="21"/>
              </w:rPr>
              <w:t>$4.0</w:t>
            </w:r>
          </w:p>
        </w:tc>
        <w:tc>
          <w:tcPr>
            <w:tcW w:w="120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color w:val="000000"/>
                <w:sz w:val="21"/>
              </w:rPr>
            </w:pPr>
            <w:r>
              <w:rPr>
                <w:rFonts w:ascii="sans-serif" w:hAnsi="sans-serif"/>
                <w:color w:val="000000"/>
                <w:sz w:val="21"/>
              </w:rPr>
              <w:t>2%</w:t>
            </w:r>
          </w:p>
        </w:tc>
        <w:tc>
          <w:tcPr>
            <w:tcW w:w="12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
              <w:jc w:val="left"/>
              <w:rPr>
                <w:sz w:val="4"/>
                <w:szCs w:val="4"/>
              </w:rPr>
            </w:pPr>
            <w:r>
              <w:rPr>
                <w:sz w:val="4"/>
                <w:szCs w:val="4"/>
              </w:rPr>
            </w:r>
          </w:p>
        </w:tc>
        <w:tc>
          <w:tcPr>
            <w:tcW w:w="95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color w:val="000000"/>
                <w:sz w:val="21"/>
              </w:rPr>
            </w:pPr>
            <w:r>
              <w:rPr>
                <w:rFonts w:ascii="sans-serif" w:hAnsi="sans-serif"/>
                <w:color w:val="000000"/>
                <w:sz w:val="21"/>
              </w:rPr>
              <w:t>$3.2</w:t>
            </w:r>
          </w:p>
        </w:tc>
        <w:tc>
          <w:tcPr>
            <w:tcW w:w="8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color w:val="000000"/>
                <w:sz w:val="21"/>
              </w:rPr>
            </w:pPr>
            <w:r>
              <w:rPr>
                <w:rFonts w:ascii="sans-serif" w:hAnsi="sans-serif"/>
                <w:color w:val="000000"/>
                <w:sz w:val="21"/>
              </w:rPr>
              <w:t>$4.4</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color w:val="000000"/>
                <w:sz w:val="21"/>
              </w:rPr>
            </w:pPr>
            <w:r>
              <w:rPr>
                <w:rFonts w:ascii="sans-serif" w:hAnsi="sans-serif"/>
                <w:color w:val="000000"/>
                <w:sz w:val="21"/>
              </w:rPr>
              <w:t>$4.5</w:t>
            </w:r>
          </w:p>
        </w:tc>
      </w:tr>
      <w:tr>
        <w:trPr/>
        <w:tc>
          <w:tcPr>
            <w:tcW w:w="3994"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5"/>
              <w:ind w:left="0" w:right="0" w:firstLine="10"/>
              <w:jc w:val="left"/>
              <w:rPr>
                <w:rFonts w:ascii="Times New Roman" w:hAnsi="Times New Roman"/>
                <w:sz w:val="21"/>
              </w:rPr>
            </w:pPr>
            <w:r>
              <w:rPr>
                <w:rFonts w:ascii="sans-serif" w:hAnsi="sans-serif"/>
                <w:b/>
                <w:color w:val="000000"/>
                <w:sz w:val="21"/>
              </w:rPr>
              <w:t>Total Revenue</w:t>
            </w:r>
            <w:r>
              <w:rPr>
                <w:rFonts w:ascii="Times New Roman" w:hAnsi="Times New Roman"/>
                <w:color w:val="000000"/>
                <w:sz w:val="21"/>
              </w:rPr>
              <w:t xml:space="preserve"> </w:t>
            </w:r>
          </w:p>
        </w:tc>
        <w:tc>
          <w:tcPr>
            <w:tcW w:w="9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b/>
                <w:color w:val="000000"/>
                <w:sz w:val="21"/>
              </w:rPr>
            </w:pPr>
            <w:r>
              <w:rPr>
                <w:rFonts w:ascii="sans-serif" w:hAnsi="sans-serif"/>
                <w:b/>
                <w:color w:val="000000"/>
                <w:sz w:val="21"/>
              </w:rPr>
              <w:t>$25.7</w:t>
            </w:r>
          </w:p>
        </w:tc>
        <w:tc>
          <w:tcPr>
            <w:tcW w:w="95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color w:val="000000"/>
                <w:sz w:val="21"/>
              </w:rPr>
            </w:pPr>
            <w:r>
              <w:rPr>
                <w:rFonts w:ascii="sans-serif" w:hAnsi="sans-serif"/>
                <w:color w:val="000000"/>
                <w:sz w:val="21"/>
              </w:rPr>
              <w:t>$19.6</w:t>
            </w:r>
          </w:p>
        </w:tc>
        <w:tc>
          <w:tcPr>
            <w:tcW w:w="120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color w:val="000000"/>
                <w:sz w:val="21"/>
              </w:rPr>
            </w:pPr>
            <w:r>
              <w:rPr>
                <w:rFonts w:ascii="sans-serif" w:hAnsi="sans-serif"/>
                <w:color w:val="000000"/>
                <w:sz w:val="21"/>
              </w:rPr>
              <w:t>32%</w:t>
            </w:r>
          </w:p>
        </w:tc>
        <w:tc>
          <w:tcPr>
            <w:tcW w:w="12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
              <w:jc w:val="left"/>
              <w:rPr>
                <w:sz w:val="4"/>
                <w:szCs w:val="4"/>
              </w:rPr>
            </w:pPr>
            <w:r>
              <w:rPr>
                <w:sz w:val="4"/>
                <w:szCs w:val="4"/>
              </w:rPr>
            </w:r>
          </w:p>
        </w:tc>
        <w:tc>
          <w:tcPr>
            <w:tcW w:w="95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color w:val="000000"/>
                <w:sz w:val="21"/>
              </w:rPr>
            </w:pPr>
            <w:r>
              <w:rPr>
                <w:rFonts w:ascii="sans-serif" w:hAnsi="sans-serif"/>
                <w:color w:val="000000"/>
                <w:sz w:val="21"/>
              </w:rPr>
              <w:t>$25.7</w:t>
            </w:r>
          </w:p>
        </w:tc>
        <w:tc>
          <w:tcPr>
            <w:tcW w:w="8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color w:val="000000"/>
                <w:sz w:val="21"/>
              </w:rPr>
            </w:pPr>
            <w:r>
              <w:rPr>
                <w:rFonts w:ascii="sans-serif" w:hAnsi="sans-serif"/>
                <w:color w:val="000000"/>
                <w:sz w:val="21"/>
              </w:rPr>
              <w:t>$21.1</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color w:val="000000"/>
                <w:sz w:val="21"/>
              </w:rPr>
            </w:pPr>
            <w:r>
              <w:rPr>
                <w:rFonts w:ascii="sans-serif" w:hAnsi="sans-serif"/>
                <w:color w:val="000000"/>
                <w:sz w:val="21"/>
              </w:rPr>
              <w:t>$19.9</w:t>
            </w:r>
          </w:p>
        </w:tc>
      </w:tr>
      <w:tr>
        <w:trPr/>
        <w:tc>
          <w:tcPr>
            <w:tcW w:w="3994"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5"/>
              <w:ind w:left="0" w:right="0" w:firstLine="10"/>
              <w:jc w:val="left"/>
              <w:rPr>
                <w:rFonts w:ascii="sans-serif" w:hAnsi="sans-serif"/>
                <w:b/>
                <w:color w:val="000000"/>
                <w:sz w:val="21"/>
              </w:rPr>
            </w:pPr>
            <w:r>
              <w:rPr>
                <w:rFonts w:ascii="sans-serif" w:hAnsi="sans-serif"/>
                <w:b/>
                <w:color w:val="000000"/>
                <w:sz w:val="21"/>
              </w:rPr>
              <w:t>Gross Profit</w:t>
            </w:r>
          </w:p>
        </w:tc>
        <w:tc>
          <w:tcPr>
            <w:tcW w:w="9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b/>
                <w:color w:val="000000"/>
                <w:sz w:val="21"/>
              </w:rPr>
            </w:pPr>
            <w:r>
              <w:rPr>
                <w:rFonts w:ascii="sans-serif" w:hAnsi="sans-serif"/>
                <w:b/>
                <w:color w:val="000000"/>
                <w:sz w:val="21"/>
              </w:rPr>
              <w:t>$8.9</w:t>
            </w:r>
          </w:p>
        </w:tc>
        <w:tc>
          <w:tcPr>
            <w:tcW w:w="95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color w:val="000000"/>
                <w:sz w:val="21"/>
              </w:rPr>
            </w:pPr>
            <w:r>
              <w:rPr>
                <w:rFonts w:ascii="sans-serif" w:hAnsi="sans-serif"/>
                <w:color w:val="000000"/>
                <w:sz w:val="21"/>
              </w:rPr>
              <w:t>$5.9</w:t>
            </w:r>
          </w:p>
        </w:tc>
        <w:tc>
          <w:tcPr>
            <w:tcW w:w="120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color w:val="000000"/>
                <w:sz w:val="21"/>
              </w:rPr>
            </w:pPr>
            <w:r>
              <w:rPr>
                <w:rFonts w:ascii="sans-serif" w:hAnsi="sans-serif"/>
                <w:color w:val="000000"/>
                <w:sz w:val="21"/>
              </w:rPr>
              <w:t>51%</w:t>
            </w:r>
          </w:p>
        </w:tc>
        <w:tc>
          <w:tcPr>
            <w:tcW w:w="12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
              <w:jc w:val="left"/>
              <w:rPr>
                <w:sz w:val="4"/>
                <w:szCs w:val="4"/>
              </w:rPr>
            </w:pPr>
            <w:r>
              <w:rPr>
                <w:sz w:val="4"/>
                <w:szCs w:val="4"/>
              </w:rPr>
            </w:r>
          </w:p>
        </w:tc>
        <w:tc>
          <w:tcPr>
            <w:tcW w:w="95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color w:val="000000"/>
                <w:sz w:val="21"/>
              </w:rPr>
            </w:pPr>
            <w:r>
              <w:rPr>
                <w:rFonts w:ascii="sans-serif" w:hAnsi="sans-serif"/>
                <w:color w:val="000000"/>
                <w:sz w:val="21"/>
              </w:rPr>
              <w:t>$9.5</w:t>
            </w:r>
          </w:p>
        </w:tc>
        <w:tc>
          <w:tcPr>
            <w:tcW w:w="8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color w:val="000000"/>
                <w:sz w:val="21"/>
              </w:rPr>
            </w:pPr>
            <w:r>
              <w:rPr>
                <w:rFonts w:ascii="sans-serif" w:hAnsi="sans-serif"/>
                <w:color w:val="000000"/>
                <w:sz w:val="21"/>
              </w:rPr>
              <w:t>$6.5</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color w:val="000000"/>
                <w:sz w:val="21"/>
              </w:rPr>
            </w:pPr>
            <w:r>
              <w:rPr>
                <w:rFonts w:ascii="sans-serif" w:hAnsi="sans-serif"/>
                <w:color w:val="000000"/>
                <w:sz w:val="21"/>
              </w:rPr>
              <w:t>$6.2</w:t>
            </w:r>
          </w:p>
        </w:tc>
      </w:tr>
      <w:tr>
        <w:trPr/>
        <w:tc>
          <w:tcPr>
            <w:tcW w:w="3994"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5"/>
              <w:ind w:left="0" w:right="0" w:firstLine="10"/>
              <w:jc w:val="left"/>
              <w:rPr>
                <w:rFonts w:ascii="sans-serif" w:hAnsi="sans-serif"/>
                <w:b/>
                <w:color w:val="000000"/>
                <w:sz w:val="21"/>
              </w:rPr>
            </w:pPr>
            <w:r>
              <w:rPr>
                <w:rFonts w:ascii="sans-serif" w:hAnsi="sans-serif"/>
                <w:b/>
                <w:color w:val="000000"/>
                <w:sz w:val="21"/>
              </w:rPr>
              <w:t>Gross Profit %</w:t>
            </w:r>
          </w:p>
        </w:tc>
        <w:tc>
          <w:tcPr>
            <w:tcW w:w="9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b/>
                <w:color w:val="000000"/>
                <w:sz w:val="21"/>
              </w:rPr>
            </w:pPr>
            <w:r>
              <w:rPr>
                <w:rFonts w:ascii="sans-serif" w:hAnsi="sans-serif"/>
                <w:b/>
                <w:color w:val="000000"/>
                <w:sz w:val="21"/>
              </w:rPr>
              <w:t>34.6%</w:t>
            </w:r>
          </w:p>
        </w:tc>
        <w:tc>
          <w:tcPr>
            <w:tcW w:w="95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color w:val="000000"/>
                <w:sz w:val="21"/>
              </w:rPr>
            </w:pPr>
            <w:r>
              <w:rPr>
                <w:rFonts w:ascii="sans-serif" w:hAnsi="sans-serif"/>
                <w:color w:val="000000"/>
                <w:sz w:val="21"/>
              </w:rPr>
              <w:t>30.1%</w:t>
            </w:r>
          </w:p>
        </w:tc>
        <w:tc>
          <w:tcPr>
            <w:tcW w:w="120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color w:val="000000"/>
                <w:sz w:val="21"/>
              </w:rPr>
            </w:pPr>
            <w:r>
              <w:rPr>
                <w:rFonts w:ascii="sans-serif" w:hAnsi="sans-serif"/>
                <w:color w:val="000000"/>
                <w:sz w:val="21"/>
              </w:rPr>
              <w:t>+450 bps</w:t>
            </w:r>
          </w:p>
        </w:tc>
        <w:tc>
          <w:tcPr>
            <w:tcW w:w="12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
              <w:jc w:val="left"/>
              <w:rPr>
                <w:sz w:val="4"/>
                <w:szCs w:val="4"/>
              </w:rPr>
            </w:pPr>
            <w:r>
              <w:rPr>
                <w:sz w:val="4"/>
                <w:szCs w:val="4"/>
              </w:rPr>
            </w:r>
          </w:p>
        </w:tc>
        <w:tc>
          <w:tcPr>
            <w:tcW w:w="95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color w:val="000000"/>
                <w:sz w:val="21"/>
              </w:rPr>
            </w:pPr>
            <w:r>
              <w:rPr>
                <w:rFonts w:ascii="sans-serif" w:hAnsi="sans-serif"/>
                <w:color w:val="000000"/>
                <w:sz w:val="21"/>
              </w:rPr>
              <w:t>37.0%</w:t>
            </w:r>
          </w:p>
        </w:tc>
        <w:tc>
          <w:tcPr>
            <w:tcW w:w="8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color w:val="000000"/>
                <w:sz w:val="21"/>
              </w:rPr>
            </w:pPr>
            <w:r>
              <w:rPr>
                <w:rFonts w:ascii="sans-serif" w:hAnsi="sans-serif"/>
                <w:color w:val="000000"/>
                <w:sz w:val="21"/>
              </w:rPr>
              <w:t>30.9%</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color w:val="000000"/>
                <w:sz w:val="21"/>
              </w:rPr>
            </w:pPr>
            <w:r>
              <w:rPr>
                <w:rFonts w:ascii="sans-serif" w:hAnsi="sans-serif"/>
                <w:color w:val="000000"/>
                <w:sz w:val="21"/>
              </w:rPr>
              <w:t>31.0%</w:t>
            </w:r>
          </w:p>
        </w:tc>
      </w:tr>
      <w:tr>
        <w:trPr/>
        <w:tc>
          <w:tcPr>
            <w:tcW w:w="3994"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5"/>
              <w:ind w:left="0" w:right="0" w:firstLine="10"/>
              <w:jc w:val="left"/>
              <w:rPr>
                <w:rFonts w:ascii="Times New Roman" w:hAnsi="Times New Roman"/>
                <w:sz w:val="21"/>
              </w:rPr>
            </w:pPr>
            <w:r>
              <w:rPr>
                <w:rFonts w:ascii="sans-serif" w:hAnsi="sans-serif"/>
                <w:b/>
                <w:color w:val="000000"/>
                <w:sz w:val="21"/>
              </w:rPr>
              <w:t xml:space="preserve">Net Income (Loss) </w:t>
            </w:r>
            <w:r>
              <w:rPr>
                <w:rFonts w:ascii="sans-serif" w:hAnsi="sans-serif"/>
                <w:color w:val="000000"/>
                <w:sz w:val="21"/>
              </w:rPr>
              <w:t>(1)(2)(3)(4)(5)</w:t>
            </w:r>
          </w:p>
        </w:tc>
        <w:tc>
          <w:tcPr>
            <w:tcW w:w="9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b/>
                <w:color w:val="000000"/>
                <w:sz w:val="21"/>
              </w:rPr>
            </w:pPr>
            <w:r>
              <w:rPr>
                <w:rFonts w:ascii="sans-serif" w:hAnsi="sans-serif"/>
                <w:b/>
                <w:color w:val="000000"/>
                <w:sz w:val="21"/>
              </w:rPr>
              <w:t>$2.0</w:t>
            </w:r>
          </w:p>
        </w:tc>
        <w:tc>
          <w:tcPr>
            <w:tcW w:w="95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color w:val="000000"/>
                <w:sz w:val="21"/>
              </w:rPr>
            </w:pPr>
            <w:r>
              <w:rPr>
                <w:rFonts w:ascii="sans-serif" w:hAnsi="sans-serif"/>
                <w:color w:val="000000"/>
                <w:sz w:val="21"/>
              </w:rPr>
              <w:t>$(1.2)</w:t>
            </w:r>
          </w:p>
        </w:tc>
        <w:tc>
          <w:tcPr>
            <w:tcW w:w="120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color w:val="000000"/>
                <w:sz w:val="21"/>
              </w:rPr>
            </w:pPr>
            <w:r>
              <w:rPr>
                <w:rFonts w:ascii="sans-serif" w:hAnsi="sans-serif"/>
                <w:color w:val="000000"/>
                <w:sz w:val="21"/>
              </w:rPr>
              <w:t>+$3.2</w:t>
            </w:r>
          </w:p>
        </w:tc>
        <w:tc>
          <w:tcPr>
            <w:tcW w:w="12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
              <w:jc w:val="left"/>
              <w:rPr>
                <w:sz w:val="4"/>
                <w:szCs w:val="4"/>
              </w:rPr>
            </w:pPr>
            <w:r>
              <w:rPr>
                <w:sz w:val="4"/>
                <w:szCs w:val="4"/>
              </w:rPr>
            </w:r>
          </w:p>
        </w:tc>
        <w:tc>
          <w:tcPr>
            <w:tcW w:w="95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color w:val="000000"/>
                <w:sz w:val="21"/>
              </w:rPr>
            </w:pPr>
            <w:r>
              <w:rPr>
                <w:rFonts w:ascii="sans-serif" w:hAnsi="sans-serif"/>
                <w:color w:val="000000"/>
                <w:sz w:val="21"/>
              </w:rPr>
              <w:t>$(1.5)</w:t>
            </w:r>
          </w:p>
        </w:tc>
        <w:tc>
          <w:tcPr>
            <w:tcW w:w="8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color w:val="000000"/>
                <w:sz w:val="21"/>
              </w:rPr>
            </w:pPr>
            <w:r>
              <w:rPr>
                <w:rFonts w:ascii="sans-serif" w:hAnsi="sans-serif"/>
                <w:color w:val="000000"/>
                <w:sz w:val="21"/>
              </w:rPr>
              <w:t>$0.2</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color w:val="000000"/>
                <w:sz w:val="21"/>
              </w:rPr>
            </w:pPr>
            <w:r>
              <w:rPr>
                <w:rFonts w:ascii="sans-serif" w:hAnsi="sans-serif"/>
                <w:color w:val="000000"/>
                <w:sz w:val="21"/>
              </w:rPr>
              <w:t>$(0.6)</w:t>
            </w:r>
          </w:p>
        </w:tc>
      </w:tr>
      <w:tr>
        <w:trPr/>
        <w:tc>
          <w:tcPr>
            <w:tcW w:w="3994"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5"/>
              <w:ind w:left="0" w:right="0" w:firstLine="10"/>
              <w:jc w:val="left"/>
              <w:rPr>
                <w:rFonts w:ascii="Times New Roman" w:hAnsi="Times New Roman"/>
                <w:sz w:val="21"/>
              </w:rPr>
            </w:pPr>
            <w:r>
              <w:rPr>
                <w:rFonts w:ascii="sans-serif" w:hAnsi="sans-serif"/>
                <w:b/>
                <w:color w:val="000000"/>
                <w:sz w:val="21"/>
              </w:rPr>
              <w:t xml:space="preserve">Net Income (Loss) per share </w:t>
            </w:r>
            <w:r>
              <w:rPr>
                <w:rFonts w:ascii="sans-serif" w:hAnsi="sans-serif"/>
                <w:color w:val="000000"/>
                <w:sz w:val="21"/>
              </w:rPr>
              <w:t>(1)(2)(3)(4)(5)</w:t>
            </w:r>
          </w:p>
        </w:tc>
        <w:tc>
          <w:tcPr>
            <w:tcW w:w="9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b/>
                <w:color w:val="000000"/>
                <w:sz w:val="21"/>
              </w:rPr>
            </w:pPr>
            <w:r>
              <w:rPr>
                <w:rFonts w:ascii="sans-serif" w:hAnsi="sans-serif"/>
                <w:b/>
                <w:color w:val="000000"/>
                <w:sz w:val="21"/>
              </w:rPr>
              <w:t>$0.47</w:t>
            </w:r>
          </w:p>
        </w:tc>
        <w:tc>
          <w:tcPr>
            <w:tcW w:w="95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color w:val="000000"/>
                <w:sz w:val="21"/>
              </w:rPr>
            </w:pPr>
            <w:r>
              <w:rPr>
                <w:rFonts w:ascii="sans-serif" w:hAnsi="sans-serif"/>
                <w:color w:val="000000"/>
                <w:sz w:val="21"/>
              </w:rPr>
              <w:t>$(0.37)</w:t>
            </w:r>
          </w:p>
        </w:tc>
        <w:tc>
          <w:tcPr>
            <w:tcW w:w="120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color w:val="000000"/>
                <w:sz w:val="21"/>
              </w:rPr>
            </w:pPr>
            <w:r>
              <w:rPr>
                <w:rFonts w:ascii="sans-serif" w:hAnsi="sans-serif"/>
                <w:color w:val="000000"/>
                <w:sz w:val="21"/>
              </w:rPr>
              <w:t>+$0.84</w:t>
            </w:r>
          </w:p>
        </w:tc>
        <w:tc>
          <w:tcPr>
            <w:tcW w:w="12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
              <w:jc w:val="left"/>
              <w:rPr>
                <w:sz w:val="4"/>
                <w:szCs w:val="4"/>
              </w:rPr>
            </w:pPr>
            <w:r>
              <w:rPr>
                <w:sz w:val="4"/>
                <w:szCs w:val="4"/>
              </w:rPr>
            </w:r>
          </w:p>
        </w:tc>
        <w:tc>
          <w:tcPr>
            <w:tcW w:w="95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color w:val="000000"/>
                <w:sz w:val="21"/>
              </w:rPr>
            </w:pPr>
            <w:r>
              <w:rPr>
                <w:rFonts w:ascii="sans-serif" w:hAnsi="sans-serif"/>
                <w:color w:val="000000"/>
                <w:sz w:val="21"/>
              </w:rPr>
              <w:t>$(0.39)</w:t>
            </w:r>
          </w:p>
        </w:tc>
        <w:tc>
          <w:tcPr>
            <w:tcW w:w="8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color w:val="000000"/>
                <w:sz w:val="21"/>
              </w:rPr>
            </w:pPr>
            <w:r>
              <w:rPr>
                <w:rFonts w:ascii="sans-serif" w:hAnsi="sans-serif"/>
                <w:color w:val="000000"/>
                <w:sz w:val="21"/>
              </w:rPr>
              <w:t>$0.04</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color w:val="000000"/>
                <w:sz w:val="21"/>
              </w:rPr>
            </w:pPr>
            <w:r>
              <w:rPr>
                <w:rFonts w:ascii="sans-serif" w:hAnsi="sans-serif"/>
                <w:color w:val="000000"/>
                <w:sz w:val="21"/>
              </w:rPr>
              <w:t>$(0.17)</w:t>
            </w:r>
          </w:p>
        </w:tc>
      </w:tr>
      <w:tr>
        <w:trPr/>
        <w:tc>
          <w:tcPr>
            <w:tcW w:w="3994"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5"/>
              <w:ind w:left="0" w:right="0" w:firstLine="10"/>
              <w:jc w:val="left"/>
              <w:rPr>
                <w:rFonts w:ascii="Times New Roman" w:hAnsi="Times New Roman"/>
                <w:sz w:val="21"/>
              </w:rPr>
            </w:pPr>
            <w:r>
              <w:rPr>
                <w:rFonts w:ascii="sans-serif" w:hAnsi="sans-serif"/>
                <w:b/>
                <w:color w:val="000000"/>
                <w:sz w:val="21"/>
              </w:rPr>
              <w:t xml:space="preserve">Adjusted EBITDA </w:t>
            </w:r>
            <w:r>
              <w:rPr>
                <w:rFonts w:ascii="sans-serif" w:hAnsi="sans-serif"/>
                <w:color w:val="000000"/>
                <w:sz w:val="21"/>
              </w:rPr>
              <w:t>(3)</w:t>
            </w:r>
          </w:p>
        </w:tc>
        <w:tc>
          <w:tcPr>
            <w:tcW w:w="9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b/>
                <w:color w:val="000000"/>
                <w:sz w:val="21"/>
              </w:rPr>
            </w:pPr>
            <w:r>
              <w:rPr>
                <w:rFonts w:ascii="sans-serif" w:hAnsi="sans-serif"/>
                <w:b/>
                <w:color w:val="000000"/>
                <w:sz w:val="21"/>
              </w:rPr>
              <w:t>$2.5</w:t>
            </w:r>
          </w:p>
        </w:tc>
        <w:tc>
          <w:tcPr>
            <w:tcW w:w="95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color w:val="000000"/>
                <w:sz w:val="21"/>
              </w:rPr>
            </w:pPr>
            <w:r>
              <w:rPr>
                <w:rFonts w:ascii="sans-serif" w:hAnsi="sans-serif"/>
                <w:color w:val="000000"/>
                <w:sz w:val="21"/>
              </w:rPr>
              <w:t>$0.2</w:t>
            </w:r>
          </w:p>
        </w:tc>
        <w:tc>
          <w:tcPr>
            <w:tcW w:w="120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color w:val="000000"/>
                <w:sz w:val="21"/>
              </w:rPr>
            </w:pPr>
            <w:r>
              <w:rPr>
                <w:rFonts w:ascii="sans-serif" w:hAnsi="sans-serif"/>
                <w:color w:val="000000"/>
                <w:sz w:val="21"/>
              </w:rPr>
              <w:t>+$2.3</w:t>
            </w:r>
          </w:p>
        </w:tc>
        <w:tc>
          <w:tcPr>
            <w:tcW w:w="12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
              <w:jc w:val="left"/>
              <w:rPr>
                <w:sz w:val="4"/>
                <w:szCs w:val="4"/>
              </w:rPr>
            </w:pPr>
            <w:r>
              <w:rPr>
                <w:sz w:val="4"/>
                <w:szCs w:val="4"/>
              </w:rPr>
            </w:r>
          </w:p>
        </w:tc>
        <w:tc>
          <w:tcPr>
            <w:tcW w:w="95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color w:val="000000"/>
                <w:sz w:val="21"/>
              </w:rPr>
            </w:pPr>
            <w:r>
              <w:rPr>
                <w:rFonts w:ascii="sans-serif" w:hAnsi="sans-serif"/>
                <w:color w:val="000000"/>
                <w:sz w:val="21"/>
              </w:rPr>
              <w:t>$0.8</w:t>
            </w:r>
          </w:p>
        </w:tc>
        <w:tc>
          <w:tcPr>
            <w:tcW w:w="8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10"/>
              <w:jc w:val="center"/>
              <w:rPr>
                <w:rFonts w:ascii="sans-serif" w:hAnsi="sans-serif"/>
                <w:color w:val="000000"/>
                <w:sz w:val="21"/>
              </w:rPr>
            </w:pPr>
            <w:r>
              <w:rPr>
                <w:rFonts w:ascii="sans-serif" w:hAnsi="sans-serif"/>
                <w:color w:val="000000"/>
                <w:sz w:val="21"/>
              </w:rPr>
              <w:t>$0.8</w:t>
            </w:r>
          </w:p>
        </w:tc>
        <w:tc>
          <w:tcPr>
            <w:tcW w:w="11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5"/>
              <w:ind w:left="0" w:right="0" w:firstLine="360"/>
              <w:jc w:val="center"/>
              <w:rPr>
                <w:rFonts w:ascii="sans-serif" w:hAnsi="sans-serif"/>
                <w:color w:val="000000"/>
                <w:sz w:val="21"/>
              </w:rPr>
            </w:pPr>
            <w:r>
              <w:rPr>
                <w:rFonts w:ascii="sans-serif" w:hAnsi="sans-serif"/>
                <w:color w:val="000000"/>
                <w:sz w:val="21"/>
              </w:rPr>
              <w:t>$0.5</w:t>
            </w:r>
          </w:p>
        </w:tc>
      </w:tr>
      <w:tr>
        <w:trPr/>
        <w:tc>
          <w:tcPr>
            <w:tcW w:w="10205" w:type="dxa"/>
            <w:gridSpan w:val="8"/>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0"/>
              <w:jc w:val="left"/>
              <w:rPr>
                <w:rFonts w:ascii="sans-serif" w:hAnsi="sans-serif"/>
                <w:color w:val="000000"/>
                <w:sz w:val="21"/>
              </w:rPr>
            </w:pPr>
            <w:r>
              <w:rPr>
                <w:rFonts w:ascii="sans-serif" w:hAnsi="sans-serif"/>
                <w:color w:val="000000"/>
                <w:sz w:val="21"/>
              </w:rPr>
              <w:t>(1)</w:t>
            </w:r>
          </w:p>
          <w:p>
            <w:pPr>
              <w:pStyle w:val="TableContents"/>
              <w:bidi w:val="0"/>
              <w:spacing w:before="0" w:after="0"/>
              <w:jc w:val="left"/>
              <w:rPr>
                <w:rFonts w:ascii="sans-serif" w:hAnsi="sans-serif"/>
                <w:color w:val="000000"/>
                <w:sz w:val="21"/>
              </w:rPr>
            </w:pPr>
            <w:r>
              <w:rPr>
                <w:rFonts w:ascii="sans-serif" w:hAnsi="sans-serif"/>
                <w:color w:val="000000"/>
                <w:sz w:val="21"/>
              </w:rPr>
              <w:t>Voltrek earnout accrual and (net adjustments) was $1.7M in Q4'26.</w:t>
            </w:r>
          </w:p>
          <w:p>
            <w:pPr>
              <w:pStyle w:val="TableContents"/>
              <w:bidi w:val="0"/>
              <w:spacing w:before="0" w:after="0"/>
              <w:jc w:val="left"/>
              <w:rPr>
                <w:rFonts w:ascii="sans-serif" w:hAnsi="sans-serif"/>
                <w:color w:val="000000"/>
                <w:sz w:val="21"/>
              </w:rPr>
            </w:pPr>
            <w:r>
              <w:rPr>
                <w:rFonts w:ascii="sans-serif" w:hAnsi="sans-serif"/>
                <w:color w:val="000000"/>
                <w:sz w:val="21"/>
              </w:rPr>
              <w:t>(2)</w:t>
            </w:r>
          </w:p>
          <w:p>
            <w:pPr>
              <w:pStyle w:val="TableContents"/>
              <w:bidi w:val="0"/>
              <w:jc w:val="left"/>
              <w:rPr>
                <w:rFonts w:ascii="sans-serif" w:hAnsi="sans-serif"/>
                <w:color w:val="000000"/>
                <w:sz w:val="21"/>
              </w:rPr>
            </w:pPr>
            <w:r>
              <w:rPr>
                <w:rFonts w:ascii="sans-serif" w:hAnsi="sans-serif"/>
                <w:color w:val="000000"/>
                <w:sz w:val="21"/>
              </w:rPr>
              <w:t>Q4'26 included $1.1M of expenses for the non-cash write-off of solar assets.</w:t>
            </w:r>
          </w:p>
          <w:p>
            <w:pPr>
              <w:pStyle w:val="TableContents"/>
              <w:bidi w:val="0"/>
              <w:spacing w:before="0" w:after="5"/>
              <w:ind w:left="0" w:right="0" w:firstLine="360"/>
              <w:jc w:val="left"/>
              <w:rPr>
                <w:rFonts w:ascii="sans-serif" w:hAnsi="sans-serif"/>
                <w:color w:val="000000"/>
                <w:sz w:val="21"/>
              </w:rPr>
            </w:pPr>
            <w:r>
              <w:rPr>
                <w:rFonts w:ascii="sans-serif" w:hAnsi="sans-serif"/>
                <w:color w:val="000000"/>
                <w:sz w:val="21"/>
              </w:rPr>
              <w:t>(3) Q1'26 included $0.6M of executive sign-on bonus and severance expenses.</w:t>
            </w:r>
          </w:p>
          <w:p>
            <w:pPr>
              <w:pStyle w:val="TableContents"/>
              <w:bidi w:val="0"/>
              <w:spacing w:before="0" w:after="5"/>
              <w:ind w:left="0" w:right="0" w:firstLine="360"/>
              <w:jc w:val="left"/>
              <w:rPr>
                <w:rFonts w:ascii="sans-serif" w:hAnsi="sans-serif"/>
                <w:color w:val="000000"/>
                <w:sz w:val="21"/>
              </w:rPr>
            </w:pPr>
            <w:r>
              <w:rPr>
                <w:rFonts w:ascii="sans-serif" w:hAnsi="sans-serif"/>
                <w:color w:val="000000"/>
                <w:sz w:val="21"/>
              </w:rPr>
              <w:t>(4) Q4'26 revenue included $1.3M associated with amending a solar energy contract that had no associated costs of goods.</w:t>
            </w:r>
          </w:p>
          <w:p>
            <w:pPr>
              <w:pStyle w:val="TableContents"/>
              <w:bidi w:val="0"/>
              <w:spacing w:before="0" w:after="5"/>
              <w:ind w:left="0" w:right="0" w:firstLine="360"/>
              <w:jc w:val="left"/>
              <w:rPr>
                <w:rFonts w:ascii="sans-serif" w:hAnsi="sans-serif"/>
                <w:color w:val="000000"/>
                <w:sz w:val="21"/>
              </w:rPr>
            </w:pPr>
            <w:r>
              <w:rPr>
                <w:rFonts w:ascii="sans-serif" w:hAnsi="sans-serif"/>
                <w:color w:val="000000"/>
                <w:sz w:val="21"/>
              </w:rPr>
              <w:t>(5) The net effect of tariffs for Q1'27 decreased costs of goods by approximately $0.3M.</w:t>
            </w:r>
          </w:p>
          <w:p>
            <w:pPr>
              <w:pStyle w:val="TableContents"/>
              <w:bidi w:val="0"/>
              <w:spacing w:before="0" w:after="5"/>
              <w:ind w:left="0" w:right="0" w:firstLine="360"/>
              <w:jc w:val="left"/>
              <w:rPr>
                <w:rFonts w:ascii="sans-serif" w:hAnsi="sans-serif"/>
                <w:color w:val="000000"/>
                <w:sz w:val="21"/>
              </w:rPr>
            </w:pPr>
            <w:r>
              <w:rPr>
                <w:rFonts w:ascii="sans-serif" w:hAnsi="sans-serif"/>
                <w:color w:val="000000"/>
                <w:sz w:val="21"/>
              </w:rPr>
              <w:t>(6) Adjusted EBITDA reconciliation provided below.</w:t>
            </w:r>
          </w:p>
        </w:tc>
      </w:tr>
    </w:tbl>
    <w:p>
      <w:pPr>
        <w:pStyle w:val="TextBody"/>
        <w:bidi w:val="0"/>
        <w:jc w:val="left"/>
        <w:rPr/>
      </w:pPr>
      <w:r>
        <w:rPr/>
        <w:t> </w:t>
      </w:r>
    </w:p>
    <w:p>
      <w:pPr>
        <w:pStyle w:val="TextBody"/>
        <w:bidi w:val="0"/>
        <w:spacing w:before="0" w:after="5"/>
        <w:jc w:val="left"/>
        <w:rPr>
          <w:rFonts w:ascii="sans-serif" w:hAnsi="sans-serif"/>
          <w:b/>
          <w:color w:val="000000"/>
          <w:sz w:val="21"/>
        </w:rPr>
      </w:pPr>
      <w:r>
        <w:rPr>
          <w:rFonts w:ascii="sans-serif" w:hAnsi="sans-serif"/>
          <w:b/>
          <w:color w:val="000000"/>
          <w:sz w:val="21"/>
        </w:rPr>
        <w:t>Q1’27 Business Highlights: Commentary from CEO Sally Washlow</w:t>
      </w:r>
    </w:p>
    <w:p>
      <w:pPr>
        <w:pStyle w:val="TextBody"/>
        <w:bidi w:val="0"/>
        <w:spacing w:before="0" w:after="5"/>
        <w:jc w:val="left"/>
        <w:rPr/>
      </w:pPr>
      <w:r>
        <w:rPr/>
        <w:t> </w:t>
      </w:r>
    </w:p>
    <w:p>
      <w:pPr>
        <w:pStyle w:val="TextBody"/>
        <w:bidi w:val="0"/>
        <w:jc w:val="left"/>
        <w:rPr>
          <w:rFonts w:ascii="sans-serif" w:hAnsi="sans-serif"/>
          <w:color w:val="000000"/>
          <w:sz w:val="21"/>
        </w:rPr>
      </w:pPr>
      <w:r>
        <w:rPr>
          <w:rFonts w:ascii="sans-serif" w:hAnsi="sans-serif"/>
          <w:color w:val="000000"/>
          <w:sz w:val="21"/>
        </w:rPr>
        <w:t>Orion’s first-quarter results and full-year expectations continue to illustrate a strong sales funnel, expansion of wallet share within large customers, continuous strengthening of a truly unrivaled proprietary supply chain and continued cost management.</w:t>
      </w:r>
    </w:p>
    <w:p>
      <w:pPr>
        <w:pStyle w:val="TextBody"/>
        <w:bidi w:val="0"/>
        <w:jc w:val="left"/>
        <w:rPr/>
      </w:pPr>
      <w:r>
        <w:rPr/>
        <w:t> </w:t>
      </w:r>
    </w:p>
    <w:p>
      <w:pPr>
        <w:pStyle w:val="TextBody"/>
        <w:bidi w:val="0"/>
        <w:jc w:val="left"/>
        <w:rPr>
          <w:rFonts w:ascii="sans-serif" w:hAnsi="sans-serif"/>
          <w:color w:val="000000"/>
          <w:sz w:val="21"/>
        </w:rPr>
      </w:pPr>
      <w:r>
        <w:rPr>
          <w:rFonts w:ascii="sans-serif" w:hAnsi="sans-serif"/>
          <w:color w:val="000000"/>
          <w:sz w:val="21"/>
        </w:rPr>
        <w:t>Orion’s first quarter illustrated noteworthy indicators of YOY growth:</w:t>
      </w:r>
    </w:p>
    <w:p>
      <w:pPr>
        <w:pStyle w:val="TextBody"/>
        <w:bidi w:val="0"/>
        <w:jc w:val="left"/>
        <w:rPr/>
      </w:pPr>
      <w:r>
        <w:rPr/>
        <w:t> </w:t>
      </w:r>
    </w:p>
    <w:p>
      <w:pPr>
        <w:pStyle w:val="TextBody"/>
        <w:bidi w:val="0"/>
        <w:spacing w:before="0" w:after="5"/>
        <w:jc w:val="left"/>
        <w:rPr>
          <w:color w:val="000000"/>
        </w:rPr>
      </w:pPr>
      <w:r>
        <w:rPr>
          <w:color w:val="000000"/>
        </w:rPr>
        <w:t xml:space="preserve">— </w:t>
      </w:r>
      <w:r>
        <w:rPr>
          <w:rFonts w:ascii="sans-serif" w:hAnsi="sans-serif"/>
          <w:color w:val="000000"/>
          <w:sz w:val="21"/>
        </w:rPr>
        <w:t>Orion entered the hyper-scale data center market with an LED lighting solution specifically designed for this massive market in Q1’27. Quickly following the product announcement, the Company was awarded a multimillion-dollar customer engagement with one of the world's largest hyper-scale data centers. Orion designed the MPHL2 to be a tailor-made LED Lighting solution for thousands of data centers to be built over the coming years. Meanwhile, the ability to provide unrivaled reliability, flexibility and scalability enables Orion to be a trusted supplier to the current data-center building boom. These unique attributes are of particular importance to Orion’s inaugural data-center customer.</w:t>
      </w:r>
    </w:p>
    <w:p>
      <w:pPr>
        <w:pStyle w:val="TextBody"/>
        <w:bidi w:val="0"/>
        <w:jc w:val="left"/>
        <w:rPr/>
      </w:pPr>
      <w:r>
        <w:rPr/>
        <w:t> </w:t>
      </w:r>
    </w:p>
    <w:p>
      <w:pPr>
        <w:pStyle w:val="TextBody"/>
        <w:bidi w:val="0"/>
        <w:jc w:val="left"/>
        <w:rPr>
          <w:color w:val="000000"/>
        </w:rPr>
      </w:pPr>
      <w:r>
        <w:rPr>
          <w:color w:val="000000"/>
        </w:rPr>
        <w:t xml:space="preserve">— </w:t>
      </w:r>
      <w:r>
        <w:rPr>
          <w:rFonts w:ascii="sans-serif" w:hAnsi="sans-serif"/>
          <w:color w:val="000000"/>
          <w:sz w:val="21"/>
        </w:rPr>
        <w:t>Orion/Voltrek continued to adapt strategically to an evolving U.S. EV Charging Infrastructure environment. We continue to strengthen our incumbencies with respected innovators like the Boston Public Schools. And we bolstered our organization tremendously with our recent appointment of recognized industry leader Karen Peck to head EV Charging Infrastructure sales.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color w:val="000000"/>
        </w:rPr>
        <w:t xml:space="preserve">— </w:t>
      </w:r>
      <w:r>
        <w:rPr>
          <w:rFonts w:ascii="sans-serif" w:hAnsi="sans-serif"/>
          <w:color w:val="000000"/>
          <w:sz w:val="21"/>
        </w:rPr>
        <w:t>Maintenance recorded solid performance, thanks in large part to our customer-first approach.</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 xml:space="preserve">Automotive, retail and public-sector engagements continue to show notable strength and continued growth. </w:t>
      </w:r>
      <w:r>
        <w:rPr>
          <w:rFonts w:ascii="sans-serif" w:hAnsi="sans-serif"/>
          <w:color w:val="000000"/>
          <w:sz w:val="20"/>
        </w:rPr>
        <w:t>Our customers</w:t>
      </w:r>
      <w:r>
        <w:rPr>
          <w:rFonts w:ascii="Times New Roman" w:hAnsi="Times New Roman"/>
          <w:color w:val="000000"/>
          <w:sz w:val="20"/>
        </w:rPr>
        <w:t xml:space="preserve"> </w:t>
      </w:r>
      <w:r>
        <w:rPr>
          <w:rFonts w:ascii="sans-serif" w:hAnsi="sans-serif"/>
          <w:color w:val="000000"/>
          <w:sz w:val="22"/>
        </w:rPr>
        <w:t>are seeing that we meet them where they are — whether we deliver a product-only solution or provide complete turnkey, full-service electrical infrastructure powered by our own products that are designed, engineered and made right here in Manitowoc or sourced leveraging our proprietary supply chain.</w:t>
      </w:r>
    </w:p>
    <w:p>
      <w:pPr>
        <w:pStyle w:val="TextBody"/>
        <w:bidi w:val="0"/>
        <w:spacing w:before="0" w:after="5"/>
        <w:jc w:val="left"/>
        <w:rPr/>
      </w:pPr>
      <w:r>
        <w:rPr/>
        <w:t> </w:t>
      </w:r>
    </w:p>
    <w:p>
      <w:pPr>
        <w:pStyle w:val="TextBody"/>
        <w:bidi w:val="0"/>
        <w:spacing w:before="0" w:after="5"/>
        <w:jc w:val="left"/>
        <w:rPr>
          <w:rFonts w:ascii="Times New Roman" w:hAnsi="Times New Roman"/>
          <w:sz w:val="20"/>
        </w:rPr>
      </w:pPr>
      <w:r>
        <w:rPr>
          <w:rFonts w:ascii="sans-serif" w:hAnsi="sans-serif"/>
          <w:b/>
          <w:color w:val="000000"/>
          <w:sz w:val="21"/>
        </w:rPr>
        <w:t>Q1’27 Financial Results</w:t>
      </w:r>
      <w:r>
        <w:rPr>
          <w:rFonts w:ascii="Times New Roman" w:hAnsi="Times New Roman"/>
          <w:color w:val="000000"/>
          <w:sz w:val="20"/>
        </w:rPr>
        <w:t xml:space="preserve"> </w:t>
      </w:r>
    </w:p>
    <w:p>
      <w:pPr>
        <w:pStyle w:val="TextBody"/>
        <w:bidi w:val="0"/>
        <w:spacing w:before="0" w:after="5"/>
        <w:jc w:val="left"/>
        <w:rPr/>
      </w:pPr>
      <w:r>
        <w:rPr/>
        <w:t> </w:t>
      </w:r>
    </w:p>
    <w:p>
      <w:pPr>
        <w:pStyle w:val="TextBody"/>
        <w:bidi w:val="0"/>
        <w:spacing w:before="0" w:after="5"/>
        <w:jc w:val="left"/>
        <w:rPr>
          <w:rFonts w:ascii="sans-serif" w:hAnsi="sans-serif"/>
          <w:color w:val="000000"/>
          <w:sz w:val="21"/>
        </w:rPr>
      </w:pPr>
      <w:r>
        <w:rPr>
          <w:rFonts w:ascii="sans-serif" w:hAnsi="sans-serif"/>
          <w:color w:val="000000"/>
          <w:sz w:val="21"/>
        </w:rPr>
        <w:t>Orion’s Q1’27 revenue was $25.7M versus $19.6M in Q1’26, while Q1’27 gross margin was 34.6% versus 30.1% in Q1’26. The Company achieved net income of $2.0M in Q1’27 versus a net loss of $1.2M in Q1’26. The Company achieved Q1’27 adjusted EBITDA of $2.5M — marking its seventh consecutive quarter of positive adjusted EBITDA — compared to adjusted EBITDA of $0.2M in Q1’26.</w:t>
      </w:r>
    </w:p>
    <w:p>
      <w:pPr>
        <w:pStyle w:val="TextBody"/>
        <w:bidi w:val="0"/>
        <w:spacing w:before="0" w:after="5"/>
        <w:jc w:val="left"/>
        <w:rPr/>
      </w:pPr>
      <w:r>
        <w:rPr/>
        <w:t> </w:t>
      </w:r>
    </w:p>
    <w:p>
      <w:pPr>
        <w:pStyle w:val="TextBody"/>
        <w:bidi w:val="0"/>
        <w:spacing w:before="0" w:after="5"/>
        <w:jc w:val="left"/>
        <w:rPr>
          <w:rFonts w:ascii="sans-serif" w:hAnsi="sans-serif"/>
          <w:color w:val="000000"/>
          <w:sz w:val="21"/>
        </w:rPr>
      </w:pPr>
      <w:r>
        <w:rPr>
          <w:rFonts w:ascii="sans-serif" w:hAnsi="sans-serif"/>
          <w:color w:val="000000"/>
          <w:sz w:val="21"/>
        </w:rPr>
        <w:t>Orion also reported the following Q1’27 segment performance:</w:t>
      </w:r>
    </w:p>
    <w:p>
      <w:pPr>
        <w:pStyle w:val="TextBody"/>
        <w:bidi w:val="0"/>
        <w:spacing w:before="115" w:after="283"/>
        <w:jc w:val="left"/>
        <w:rPr>
          <w:color w:val="000000"/>
        </w:rPr>
      </w:pPr>
      <w:r>
        <w:rPr>
          <w:color w:val="000000"/>
        </w:rPr>
        <w:t>•</w:t>
      </w:r>
    </w:p>
    <w:p>
      <w:pPr>
        <w:pStyle w:val="TextBody"/>
        <w:bidi w:val="0"/>
        <w:spacing w:before="115" w:after="283"/>
        <w:jc w:val="left"/>
        <w:rPr>
          <w:rFonts w:ascii="sans-serif" w:hAnsi="sans-serif"/>
          <w:color w:val="000000"/>
          <w:sz w:val="21"/>
        </w:rPr>
      </w:pPr>
      <w:r>
        <w:rPr>
          <w:rFonts w:ascii="sans-serif" w:hAnsi="sans-serif"/>
          <w:color w:val="000000"/>
          <w:sz w:val="21"/>
        </w:rPr>
        <w:t xml:space="preserve">LED lighting revenue increased approximately 37% to $17.7M in Q1’27, compared to $12.9M in Q1’26, reflecting increased large project activity.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1"/>
        </w:rPr>
      </w:pPr>
      <w:r>
        <w:rPr>
          <w:rFonts w:ascii="sans-serif" w:hAnsi="sans-serif"/>
          <w:color w:val="000000"/>
          <w:sz w:val="21"/>
        </w:rPr>
        <w:t xml:space="preserve">Maintenance services revenue increased 2% to $4.1M in Q1’27 from $4.0M in Q1’26, reflecting the benefit of new customer contracts, as well as the expansion of certain existing customer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1"/>
        </w:rPr>
      </w:pPr>
      <w:r>
        <w:rPr>
          <w:rFonts w:ascii="sans-serif" w:hAnsi="sans-serif"/>
          <w:color w:val="000000"/>
          <w:sz w:val="21"/>
        </w:rPr>
        <w:t xml:space="preserve">EV charging solutions revenue was $4.0M in Q1’27 compared to $2.7M in Q1’26, reflecting the variability in timing of larger projects. Orion/Voltrek notes current uncertainty around the near-term scope, pace and funding availability for EV charging projects,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1"/>
        </w:rPr>
      </w:pPr>
      <w:r>
        <w:rPr>
          <w:rFonts w:ascii="sans-serif" w:hAnsi="sans-serif"/>
          <w:color w:val="000000"/>
          <w:sz w:val="21"/>
        </w:rPr>
        <w:t>Orion’s Q1’27 gross margin was 34.6% versus 30.1% in Q1’26, primarily due to pricing and cost improvements across the lighting and maintenance segments.</w:t>
      </w:r>
    </w:p>
    <w:p>
      <w:pPr>
        <w:pStyle w:val="TextBody"/>
        <w:bidi w:val="0"/>
        <w:spacing w:before="120" w:after="283"/>
        <w:jc w:val="left"/>
        <w:rPr>
          <w:rFonts w:ascii="sans-serif" w:hAnsi="sans-serif"/>
          <w:color w:val="000000"/>
          <w:sz w:val="21"/>
        </w:rPr>
      </w:pPr>
      <w:r>
        <w:rPr>
          <w:rFonts w:ascii="sans-serif" w:hAnsi="sans-serif"/>
          <w:color w:val="000000"/>
          <w:sz w:val="21"/>
        </w:rPr>
        <w:t>Total operating expenses decreased to $6.8M in Q1’27 from $6.9M in Q1’26, reflecting the Company's continued careful management of its cost structure.</w:t>
      </w:r>
    </w:p>
    <w:p>
      <w:pPr>
        <w:pStyle w:val="TextBody"/>
        <w:bidi w:val="0"/>
        <w:spacing w:before="120" w:after="283"/>
        <w:jc w:val="left"/>
        <w:rPr>
          <w:rFonts w:ascii="sans-serif" w:hAnsi="sans-serif"/>
          <w:color w:val="000000"/>
          <w:sz w:val="21"/>
        </w:rPr>
      </w:pPr>
      <w:r>
        <w:rPr>
          <w:rFonts w:ascii="sans-serif" w:hAnsi="sans-serif"/>
          <w:color w:val="000000"/>
          <w:sz w:val="21"/>
        </w:rPr>
        <w:t>Primarily reflecting stronger gross margin and lower operating expenses, Orion achieved net income of $2.0M in Q1’27, $0.48 basic earnings per share and $0.47 diluted earnings per share, versus a net loss of $1.2M, or $0.37 per share, in Q1’26. Orion’s adjusted EBITDA improved to $2.5M in Q1’27 compared to $0.2M in Q1’26, reflecting the benefit of the Company’s financial discipline.</w:t>
      </w:r>
    </w:p>
    <w:p>
      <w:pPr>
        <w:pStyle w:val="TextBody"/>
        <w:bidi w:val="0"/>
        <w:spacing w:before="0" w:after="5"/>
        <w:jc w:val="left"/>
        <w:rPr/>
      </w:pPr>
      <w:r>
        <w:rPr/>
        <w:t> </w:t>
      </w:r>
    </w:p>
    <w:p>
      <w:pPr>
        <w:pStyle w:val="TextBody"/>
        <w:bidi w:val="0"/>
        <w:spacing w:before="0" w:after="5"/>
        <w:jc w:val="left"/>
        <w:rPr>
          <w:rFonts w:ascii="Times New Roman" w:hAnsi="Times New Roman"/>
          <w:sz w:val="20"/>
        </w:rPr>
      </w:pPr>
      <w:r>
        <w:rPr>
          <w:rFonts w:ascii="sans-serif" w:hAnsi="sans-serif"/>
          <w:b/>
          <w:color w:val="000000"/>
          <w:sz w:val="21"/>
        </w:rPr>
        <w:t>Balance Sheet and Cash Flow</w:t>
      </w:r>
      <w:r>
        <w:rPr>
          <w:rFonts w:ascii="Times New Roman" w:hAnsi="Times New Roman"/>
          <w:color w:val="000000"/>
          <w:sz w:val="20"/>
        </w:rPr>
        <w:t xml:space="preserve"> </w:t>
      </w:r>
    </w:p>
    <w:p>
      <w:pPr>
        <w:pStyle w:val="TextBody"/>
        <w:bidi w:val="0"/>
        <w:spacing w:before="0" w:after="5"/>
        <w:jc w:val="left"/>
        <w:rPr>
          <w:rFonts w:ascii="sans-serif" w:hAnsi="sans-serif"/>
          <w:color w:val="000000"/>
          <w:sz w:val="21"/>
        </w:rPr>
      </w:pPr>
      <w:r>
        <w:rPr>
          <w:rFonts w:ascii="sans-serif" w:hAnsi="sans-serif"/>
          <w:color w:val="000000"/>
          <w:sz w:val="21"/>
        </w:rPr>
        <w:t>Orion ended the quarter with current assets of $39.2M, including $5.2M of cash, $14.4M of accounts receivable, $7.4M of revenue earned but not billed, and $10.4M of inventories. Net of current liabilities, working capital was $13.7M at June 30, 2026, compared to $6.1M at June 30, 2025. Orion’s financial liquidity at June 30, 2026, was $18.1M as compared to $9.8M at June 30, 2025. Further, Orion generated $1.4M of cash flow from operations in Q1'27 compared to a use of cash of $0.5M in the prior year period. Finally, Orion recently extended the maturity date of its revolving credit facility from June 30, 2027, to June 30, 2030.</w:t>
      </w:r>
    </w:p>
    <w:p>
      <w:pPr>
        <w:pStyle w:val="TextBody"/>
        <w:bidi w:val="0"/>
        <w:spacing w:before="0" w:after="5"/>
        <w:jc w:val="left"/>
        <w:rPr/>
      </w:pPr>
      <w:r>
        <w:rPr/>
        <w:t> </w:t>
      </w:r>
    </w:p>
    <w:p>
      <w:pPr>
        <w:pStyle w:val="TextBody"/>
        <w:bidi w:val="0"/>
        <w:spacing w:before="0" w:after="5"/>
        <w:jc w:val="left"/>
        <w:rPr>
          <w:rFonts w:ascii="sans-serif" w:hAnsi="sans-serif"/>
          <w:color w:val="000000"/>
          <w:sz w:val="21"/>
        </w:rPr>
      </w:pPr>
      <w:r>
        <w:rPr>
          <w:rFonts w:ascii="sans-serif" w:hAnsi="sans-serif"/>
          <w:color w:val="000000"/>
          <w:sz w:val="21"/>
        </w:rPr>
        <w:t>Orion reiterated its previously announced expectations of positive adjusted EBITDA on revenue of between $95 million and $97 million in FY’27, which began April 1, 2026.</w:t>
      </w:r>
    </w:p>
    <w:p>
      <w:pPr>
        <w:pStyle w:val="TextBody"/>
        <w:bidi w:val="0"/>
        <w:spacing w:before="0" w:after="5"/>
        <w:jc w:val="left"/>
        <w:rPr/>
      </w:pPr>
      <w:r>
        <w:rPr/>
        <w:t> </w:t>
      </w:r>
    </w:p>
    <w:p>
      <w:pPr>
        <w:pStyle w:val="TextBody"/>
        <w:bidi w:val="0"/>
        <w:spacing w:before="0" w:after="5"/>
        <w:jc w:val="left"/>
        <w:rPr>
          <w:rFonts w:ascii="sans-serif" w:hAnsi="sans-serif"/>
          <w:b/>
          <w:color w:val="000000"/>
          <w:sz w:val="21"/>
        </w:rPr>
      </w:pPr>
      <w:r>
        <w:rPr>
          <w:rFonts w:ascii="sans-serif" w:hAnsi="sans-serif"/>
          <w:b/>
          <w:color w:val="000000"/>
          <w:sz w:val="21"/>
        </w:rPr>
        <w:t>About Orion Energy Systems</w:t>
      </w:r>
    </w:p>
    <w:p>
      <w:pPr>
        <w:pStyle w:val="TextBody"/>
        <w:bidi w:val="0"/>
        <w:spacing w:before="0" w:after="5"/>
        <w:jc w:val="left"/>
        <w:rPr>
          <w:rFonts w:ascii="Times New Roman" w:hAnsi="Times New Roman"/>
          <w:sz w:val="20"/>
        </w:rPr>
      </w:pPr>
      <w:r>
        <w:rPr>
          <w:rFonts w:ascii="sans-serif" w:hAnsi="sans-serif"/>
          <w:color w:val="000000"/>
          <w:sz w:val="21"/>
        </w:rPr>
        <w:t>Orion provides energy efficiency and clean tech solutions, including LED lighting and controls, electrical vehicle (EV) charging solutions, and maintenance services. Orion specializes in turnkey design-through-installation solutions for large national customers as well as projects through ESCO and distribution partners, with a commitment to helping customers achieve their business and environmental goals with healthy, safe, and sustainable solutions that reduce their carbon footprint and enhance business performance.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5"/>
        <w:jc w:val="left"/>
        <w:rPr/>
      </w:pPr>
      <w:r>
        <w:rPr/>
        <w:t> </w:t>
      </w:r>
    </w:p>
    <w:p>
      <w:pPr>
        <w:pStyle w:val="TextBody"/>
        <w:bidi w:val="0"/>
        <w:spacing w:before="0" w:after="5"/>
        <w:jc w:val="left"/>
        <w:rPr>
          <w:rFonts w:ascii="Times New Roman" w:hAnsi="Times New Roman"/>
          <w:sz w:val="20"/>
        </w:rPr>
      </w:pPr>
      <w:r>
        <w:rPr>
          <w:rFonts w:ascii="sans-serif" w:hAnsi="sans-serif"/>
          <w:b/>
          <w:color w:val="000000"/>
          <w:sz w:val="21"/>
        </w:rPr>
        <w:t>Non-GAAP Measures</w:t>
      </w:r>
      <w:r>
        <w:rPr>
          <w:rFonts w:ascii="Times New Roman" w:hAnsi="Times New Roman"/>
          <w:color w:val="000000"/>
          <w:sz w:val="20"/>
        </w:rPr>
        <w:t xml:space="preserve"> </w:t>
      </w:r>
    </w:p>
    <w:p>
      <w:pPr>
        <w:pStyle w:val="TextBody"/>
        <w:bidi w:val="0"/>
        <w:spacing w:before="0" w:after="5"/>
        <w:jc w:val="left"/>
        <w:rPr>
          <w:rFonts w:ascii="Times New Roman" w:hAnsi="Times New Roman"/>
          <w:sz w:val="20"/>
        </w:rPr>
      </w:pPr>
      <w:r>
        <w:rPr>
          <w:rFonts w:ascii="sans-serif" w:hAnsi="sans-serif"/>
          <w:color w:val="000000"/>
          <w:sz w:val="21"/>
        </w:rPr>
        <w:t>In addition to the GAAP results included in this presentation, Orion has also included the non-GAAP measures, EBITDA (earnings before interest, taxes, depreciation and amortization), and Adjusted EBITDA (EBITDA adjusted for stock-based compensation, acquisition related costs, deferred financing costs, restructuring and severance costs, asset impairment and, earnout expenses). The Company has provided these non-GAAP measures to help investors better understand its core operating performance, enhance comparisons of core operating performance from period to period, and allow better comparisons of operating performance to its competitors. Among other things, management uses these non-GAAP measures to evaluate the performance of the business and believes these measurements enable it to make better period-to-period evaluations of the financial performance of core business operations. The non-GAAP measurements are intended only as a supplement to the comparable GAAP measurements and Orion compensates for the limitations inherent in the use of non-GAAP measurements by using GAAP measures in conjunction with the non-GAAP measurements. As a result, investors should consider these non-GAAP measurements in addition to, and not in substitution for or as superior to, measurements of financial performance prepared in accordance with generally accepted accounting principles.</w:t>
      </w:r>
      <w:r>
        <w:rPr>
          <w:rFonts w:ascii="Times New Roman" w:hAnsi="Times New Roman"/>
          <w:color w:val="000000"/>
          <w:sz w:val="20"/>
        </w:rPr>
        <w:t xml:space="preserve"> </w:t>
      </w:r>
    </w:p>
    <w:p>
      <w:pPr>
        <w:pStyle w:val="TextBody"/>
        <w:bidi w:val="0"/>
        <w:spacing w:before="0" w:after="5"/>
        <w:jc w:val="left"/>
        <w:rPr/>
      </w:pPr>
      <w:r>
        <w:rPr/>
        <w:t> </w:t>
      </w:r>
    </w:p>
    <w:p>
      <w:pPr>
        <w:pStyle w:val="TextBody"/>
        <w:bidi w:val="0"/>
        <w:spacing w:before="0" w:after="5"/>
        <w:jc w:val="left"/>
        <w:rPr>
          <w:rFonts w:ascii="Times New Roman" w:hAnsi="Times New Roman"/>
          <w:sz w:val="20"/>
        </w:rPr>
      </w:pPr>
      <w:r>
        <w:rPr>
          <w:rFonts w:ascii="sans-serif" w:hAnsi="sans-serif"/>
          <w:color w:val="000000"/>
          <w:sz w:val="21"/>
        </w:rPr>
        <w:t>Consistent with Regulation G under the U.S. federal securities laws, the non-GAAP measures in this press release have been reconciled to the nearest GAAP measures, and this reconciliation is located under the heading “Unaudited EBITDA Reconciliation” following the Unaudited Condensed Consolidated Statements of Cash Flows included in this press release.</w:t>
      </w:r>
      <w:r>
        <w:rPr>
          <w:rFonts w:ascii="Times New Roman" w:hAnsi="Times New Roman"/>
          <w:color w:val="000000"/>
          <w:sz w:val="20"/>
        </w:rPr>
        <w:t xml:space="preserve"> </w:t>
      </w:r>
    </w:p>
    <w:p>
      <w:pPr>
        <w:pStyle w:val="TextBody"/>
        <w:bidi w:val="0"/>
        <w:spacing w:before="0" w:after="5"/>
        <w:jc w:val="left"/>
        <w:rPr>
          <w:rFonts w:ascii="Times New Roman" w:hAnsi="Times New Roman"/>
          <w:sz w:val="20"/>
        </w:rPr>
      </w:pPr>
      <w:r>
        <w:rPr>
          <w:rFonts w:ascii="sans-serif" w:hAnsi="sans-serif"/>
          <w:b/>
          <w:color w:val="000000"/>
          <w:sz w:val="21"/>
        </w:rPr>
        <w:t>Safe Harbor Statement</w:t>
      </w:r>
      <w:r>
        <w:rPr>
          <w:rFonts w:ascii="Times New Roman" w:hAnsi="Times New Roman"/>
          <w:color w:val="000000"/>
          <w:sz w:val="20"/>
        </w:rPr>
        <w:t xml:space="preserve"> </w:t>
      </w:r>
    </w:p>
    <w:p>
      <w:pPr>
        <w:pStyle w:val="TextBody"/>
        <w:bidi w:val="0"/>
        <w:spacing w:before="0" w:after="5"/>
        <w:jc w:val="left"/>
        <w:rPr>
          <w:rFonts w:ascii="Times New Roman" w:hAnsi="Times New Roman"/>
          <w:sz w:val="20"/>
        </w:rPr>
      </w:pPr>
      <w:r>
        <w:rPr>
          <w:rFonts w:ascii="sans-serif" w:hAnsi="sans-serif"/>
          <w:i/>
          <w:color w:val="000000"/>
          <w:sz w:val="21"/>
        </w:rPr>
        <w:t>Certain matters discussed in this press release are "forward-looking statements" intended to qualify for the safe harbor from liability established by the Private Securities Litigation Reform Act of 1995. These forward-looking statements may generally be identified as such because the context of such statements will include words such as "anticipate," "believe," "could," "estimate," "expect," "intend," "may," "plan," "potential," "predict," "project," "should," "will," "would" or words of similar import. Similarly, statements that describe our future outlook, plans, expectations, objectives or goals are also forward-looking statements. Such forward-looking statements are subject to certain risks and uncertainties that could cause results to differ materially from those expected, including, but not limited to, the following: (i) our ability to achieve our budgeted fiscal 2027 revenue expectations, and related public fiscal 2027 revenue guidance, will have a significant impact on our cash flow and stock price and ability to fund our operations and satisfy our debt obligations; (ii) we have launched a new ERP system, which will continue to involve substantial cost and potential disruption to our previously normal operations; our inability to successfully manage the implementation of our new ERP system could adversely affect our ability to operate our business and otherwise negatively affect our financial reporting and the effectiveness of our internal control over financial reporting; (iii) government tariffs and other actions have adversely affected, and may continue to adversely affect, our business, resulting in increased costs and reduced gross margins; (iv) the reduction or elimination of incentives from the United States government for investments in electric vehicle (“EV”) charging infrastructure may reduce demand for public EV charging products, in addition to reducing overall demand for EVs; (v) we do not have major sources of recurring revenue, a substantial portion of our revenues is derived from major project-based retrofit work that is awarded through a competitive bid process and we depend upon a limited number of customers in any given period to generate a substantial portion of our revenue, and it is generally difficult to predict the timing of projects that will be awarded, which can impact our ability to achieve our expected financial results; (vi) the reduction of revenue from our most significant customer over the past several fiscal years has had, and the potential future loss of other significant customers or a major customer would likely have, a materially adverse effect on our results of operations, financial condition and cash flows; (vii) the reduction or elimination of investments in, or incentives to adopt, light emitting diode (“LED”) lighting or the elimination of, or changes in, policies, incentives or rebates in certain states or countries that encourage the use of LEDs over some traditional lighting technologies, including due to federal funding restrictions in the United States, could cause the demand for our lighting products to slow; (viii) we are experiencing ongoing increasing pressures to reduce the average selling price of our products and related negative impact on our gross margins, driven largely by the ongoing increase in competition from foreign competitors; (ix) our products use components and raw materials that may be subject to price fluctuations, shortages or interruptions of supply, particularly resulting from tariffs and other trade restrictions; (x) we increasingly rely on third-party manufacturers for the manufacture and development of our products and product components; (xi) we are subject to the risk of a cybersecurity breach; (xii) macroeconomic pressures in the markets in which we operate may adversely affect our financial results; (xiii) adverse conditions in the global economy, including due to changes in diplomatic and trade relationships, have negatively impacted, and could in the future negatively impact, our customers, suppliers and business; (xiv) the success of our LED lighting retrofit solutions depends, in part, on our ability to claim market share away from our competitors; and (xv) the other risks described</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5"/>
        <w:jc w:val="left"/>
        <w:rPr>
          <w:rFonts w:ascii="Times New Roman" w:hAnsi="Times New Roman"/>
          <w:sz w:val="20"/>
        </w:rPr>
      </w:pPr>
      <w:r>
        <w:rPr>
          <w:rFonts w:ascii="sans-serif" w:hAnsi="sans-serif"/>
          <w:i/>
          <w:color w:val="000000"/>
          <w:sz w:val="21"/>
        </w:rPr>
        <w:t xml:space="preserve">in our filings with the Securities and Exchange Commission. Shareholders, potential investors and other readers are urged to consider these factors carefully in evaluating the forward-looking statements and are cautioned not to place undue reliance on such forward-looking statements. The forward-looking statements made herein are made only as of the date of this press release and we undertake no obligation to publicly update any forward-looking statements, whether as a result of new information, future events or otherwise. More detailed information about factors that may affect our performance may be found in our filings with the Securities and Exchange Commission, which are available at </w:t>
      </w:r>
      <w:r>
        <w:rPr>
          <w:rFonts w:ascii="sans-serif" w:hAnsi="sans-serif"/>
          <w:i/>
          <w:color w:val="000000"/>
          <w:sz w:val="21"/>
          <w:u w:val="single"/>
        </w:rPr>
        <w:t>http://www.sec.gov</w:t>
      </w:r>
      <w:r>
        <w:rPr>
          <w:rFonts w:ascii="Times New Roman" w:hAnsi="Times New Roman"/>
          <w:color w:val="000000"/>
          <w:sz w:val="20"/>
        </w:rPr>
        <w:t xml:space="preserve"> </w:t>
      </w:r>
      <w:r>
        <w:rPr>
          <w:rFonts w:ascii="sans-serif" w:hAnsi="sans-serif"/>
          <w:i/>
          <w:color w:val="000000"/>
          <w:sz w:val="21"/>
        </w:rPr>
        <w:t xml:space="preserve">or at </w:t>
      </w:r>
      <w:r>
        <w:rPr>
          <w:rFonts w:ascii="sans-serif" w:hAnsi="sans-serif"/>
          <w:i/>
          <w:color w:val="000000"/>
          <w:sz w:val="21"/>
          <w:u w:val="single"/>
        </w:rPr>
        <w:t>http://investor.oriones.com</w:t>
      </w:r>
      <w:r>
        <w:rPr>
          <w:rFonts w:ascii="Times New Roman" w:hAnsi="Times New Roman"/>
          <w:color w:val="000000"/>
          <w:sz w:val="20"/>
        </w:rPr>
        <w:t xml:space="preserve"> </w:t>
      </w:r>
      <w:r>
        <w:rPr>
          <w:rFonts w:ascii="sans-serif" w:hAnsi="sans-serif"/>
          <w:i/>
          <w:color w:val="000000"/>
          <w:sz w:val="21"/>
        </w:rPr>
        <w:t>in the Investor Relations section of our website.</w:t>
      </w:r>
      <w:r>
        <w:rPr>
          <w:rFonts w:ascii="Times New Roman" w:hAnsi="Times New Roman"/>
          <w:color w:val="000000"/>
          <w:sz w:val="20"/>
        </w:rPr>
        <w:t xml:space="preserve"> </w:t>
      </w:r>
    </w:p>
    <w:p>
      <w:pPr>
        <w:pStyle w:val="TextBody"/>
        <w:bidi w:val="0"/>
        <w:spacing w:before="0" w:after="5"/>
        <w:jc w:val="both"/>
        <w:rPr>
          <w:rFonts w:ascii="sans-serif" w:hAnsi="sans-serif"/>
          <w:b/>
          <w:color w:val="000000"/>
          <w:sz w:val="21"/>
        </w:rPr>
      </w:pPr>
      <w:r>
        <w:rPr>
          <w:rFonts w:ascii="sans-serif" w:hAnsi="sans-serif"/>
          <w:b/>
          <w:color w:val="000000"/>
          <w:sz w:val="21"/>
        </w:rPr>
        <w:t>Engage with Us</w:t>
      </w:r>
    </w:p>
    <w:p>
      <w:pPr>
        <w:pStyle w:val="TextBody"/>
        <w:bidi w:val="0"/>
        <w:spacing w:before="0" w:after="5"/>
        <w:jc w:val="left"/>
        <w:rPr>
          <w:rFonts w:ascii="Times New Roman" w:hAnsi="Times New Roman"/>
          <w:sz w:val="20"/>
        </w:rPr>
      </w:pPr>
      <w:r>
        <w:rPr>
          <w:rFonts w:ascii="sans-serif" w:hAnsi="sans-serif"/>
          <w:b/>
          <w:color w:val="000000"/>
          <w:sz w:val="21"/>
        </w:rPr>
        <w:t>X</w:t>
      </w:r>
      <w:r>
        <w:rPr>
          <w:rFonts w:ascii="sans-serif" w:hAnsi="sans-serif"/>
          <w:color w:val="000000"/>
          <w:sz w:val="21"/>
        </w:rPr>
        <w:t xml:space="preserve">: </w:t>
      </w:r>
      <w:r>
        <w:rPr>
          <w:rFonts w:ascii="sans-serif" w:hAnsi="sans-serif"/>
          <w:color w:val="0432FF"/>
          <w:sz w:val="21"/>
        </w:rPr>
        <w:t xml:space="preserve">@OrionLighting </w:t>
      </w:r>
      <w:r>
        <w:rPr>
          <w:rFonts w:ascii="sans-serif" w:hAnsi="sans-serif"/>
          <w:color w:val="000000"/>
          <w:sz w:val="21"/>
        </w:rPr>
        <w:t xml:space="preserve">and </w:t>
      </w:r>
      <w:r>
        <w:rPr>
          <w:rFonts w:ascii="sans-serif" w:hAnsi="sans-serif"/>
          <w:color w:val="0432FF"/>
          <w:sz w:val="21"/>
        </w:rPr>
        <w:t>@OrionLightingIR</w:t>
      </w:r>
    </w:p>
    <w:p>
      <w:pPr>
        <w:pStyle w:val="TextBody"/>
        <w:bidi w:val="0"/>
        <w:spacing w:before="0" w:after="5"/>
        <w:jc w:val="left"/>
        <w:rPr>
          <w:rFonts w:ascii="Times New Roman" w:hAnsi="Times New Roman"/>
          <w:sz w:val="20"/>
        </w:rPr>
      </w:pPr>
      <w:r>
        <w:rPr>
          <w:rFonts w:ascii="sans-serif" w:hAnsi="sans-serif"/>
          <w:b/>
          <w:color w:val="000000"/>
          <w:sz w:val="21"/>
        </w:rPr>
        <w:t xml:space="preserve">StockTwits: </w:t>
      </w:r>
      <w:r>
        <w:rPr>
          <w:rFonts w:ascii="sans-serif" w:hAnsi="sans-serif"/>
          <w:color w:val="0432FF"/>
          <w:sz w:val="21"/>
        </w:rPr>
        <w:t>@OESX_IR</w:t>
      </w:r>
    </w:p>
    <w:p>
      <w:pPr>
        <w:pStyle w:val="TextBody"/>
        <w:bidi w:val="0"/>
        <w:spacing w:before="0" w:after="5"/>
        <w:jc w:val="center"/>
        <w:rPr/>
      </w:pPr>
      <w:r>
        <w:rPr/>
        <w:t> </w:t>
      </w:r>
    </w:p>
    <w:tbl>
      <w:tblPr>
        <w:tblW w:w="8231" w:type="dxa"/>
        <w:jc w:val="left"/>
        <w:tblInd w:w="0" w:type="dxa"/>
        <w:tblLayout w:type="fixed"/>
        <w:tblCellMar>
          <w:top w:w="28" w:type="dxa"/>
          <w:left w:w="28" w:type="dxa"/>
          <w:bottom w:w="28" w:type="dxa"/>
          <w:right w:w="28" w:type="dxa"/>
        </w:tblCellMar>
      </w:tblPr>
      <w:tblGrid>
        <w:gridCol w:w="4650"/>
        <w:gridCol w:w="3581"/>
      </w:tblGrid>
      <w:tr>
        <w:trPr/>
        <w:tc>
          <w:tcPr>
            <w:tcW w:w="4650" w:type="dxa"/>
            <w:tcBorders/>
            <w:vAlign w:val="center"/>
          </w:tcPr>
          <w:p>
            <w:pPr>
              <w:pStyle w:val="TableContents"/>
              <w:bidi w:val="0"/>
              <w:spacing w:before="0" w:after="283"/>
              <w:jc w:val="left"/>
              <w:rPr>
                <w:sz w:val="4"/>
                <w:szCs w:val="4"/>
              </w:rPr>
            </w:pPr>
            <w:r>
              <w:rPr>
                <w:sz w:val="4"/>
                <w:szCs w:val="4"/>
              </w:rPr>
            </w:r>
          </w:p>
        </w:tc>
        <w:tc>
          <w:tcPr>
            <w:tcW w:w="3581" w:type="dxa"/>
            <w:tcBorders/>
            <w:vAlign w:val="center"/>
          </w:tcPr>
          <w:p>
            <w:pPr>
              <w:pStyle w:val="TableContents"/>
              <w:bidi w:val="0"/>
              <w:spacing w:before="0" w:after="283"/>
              <w:ind w:left="0" w:right="0" w:firstLine="10"/>
              <w:jc w:val="left"/>
              <w:rPr>
                <w:sz w:val="4"/>
                <w:szCs w:val="4"/>
              </w:rPr>
            </w:pPr>
            <w:r>
              <w:rPr>
                <w:sz w:val="4"/>
                <w:szCs w:val="4"/>
              </w:rPr>
            </w:r>
          </w:p>
        </w:tc>
      </w:tr>
      <w:tr>
        <w:trPr/>
        <w:tc>
          <w:tcPr>
            <w:tcW w:w="4650" w:type="dxa"/>
            <w:tcBorders/>
            <w:tcMar>
              <w:top w:w="0" w:type="dxa"/>
              <w:left w:w="0" w:type="dxa"/>
              <w:bottom w:w="0" w:type="dxa"/>
              <w:right w:w="0" w:type="dxa"/>
            </w:tcMar>
            <w:vAlign w:val="center"/>
          </w:tcPr>
          <w:p>
            <w:pPr>
              <w:pStyle w:val="TableContents"/>
              <w:bidi w:val="0"/>
              <w:spacing w:before="0" w:after="5"/>
              <w:ind w:left="0" w:right="0" w:firstLine="1199"/>
              <w:jc w:val="left"/>
              <w:rPr>
                <w:rFonts w:ascii="Times New Roman" w:hAnsi="Times New Roman"/>
                <w:sz w:val="21"/>
              </w:rPr>
            </w:pPr>
            <w:r>
              <w:rPr>
                <w:rFonts w:ascii="sans-serif" w:hAnsi="sans-serif"/>
                <w:b/>
                <w:color w:val="000000"/>
                <w:sz w:val="21"/>
              </w:rPr>
              <w:t>Investor Relations Contacts</w:t>
            </w:r>
            <w:r>
              <w:rPr>
                <w:rFonts w:ascii="Times New Roman" w:hAnsi="Times New Roman"/>
                <w:color w:val="000000"/>
                <w:sz w:val="21"/>
              </w:rPr>
              <w:t xml:space="preserve"> </w:t>
            </w:r>
          </w:p>
        </w:tc>
        <w:tc>
          <w:tcPr>
            <w:tcW w:w="3581" w:type="dxa"/>
            <w:tcBorders/>
            <w:tcMar>
              <w:top w:w="0" w:type="dxa"/>
              <w:left w:w="0" w:type="dxa"/>
              <w:bottom w:w="0" w:type="dxa"/>
              <w:right w:w="0" w:type="dxa"/>
            </w:tcMar>
            <w:vAlign w:val="center"/>
          </w:tcPr>
          <w:p>
            <w:pPr>
              <w:pStyle w:val="TableContents"/>
              <w:bidi w:val="0"/>
              <w:spacing w:before="0" w:after="283"/>
              <w:ind w:left="0" w:right="0" w:firstLine="115"/>
              <w:jc w:val="left"/>
              <w:rPr>
                <w:sz w:val="4"/>
                <w:szCs w:val="4"/>
              </w:rPr>
            </w:pPr>
            <w:r>
              <w:rPr>
                <w:sz w:val="4"/>
                <w:szCs w:val="4"/>
              </w:rPr>
            </w:r>
          </w:p>
        </w:tc>
      </w:tr>
      <w:tr>
        <w:trPr/>
        <w:tc>
          <w:tcPr>
            <w:tcW w:w="4650" w:type="dxa"/>
            <w:tcBorders/>
            <w:tcMar>
              <w:top w:w="0" w:type="dxa"/>
              <w:left w:w="0" w:type="dxa"/>
              <w:bottom w:w="0" w:type="dxa"/>
              <w:right w:w="0" w:type="dxa"/>
            </w:tcMar>
            <w:vAlign w:val="center"/>
          </w:tcPr>
          <w:p>
            <w:pPr>
              <w:pStyle w:val="TableContents"/>
              <w:bidi w:val="0"/>
              <w:spacing w:before="0" w:after="283"/>
              <w:ind w:left="0" w:right="0" w:firstLine="10"/>
              <w:jc w:val="left"/>
              <w:rPr>
                <w:rFonts w:ascii="Times New Roman" w:hAnsi="Times New Roman"/>
                <w:sz w:val="21"/>
              </w:rPr>
            </w:pPr>
            <w:r>
              <w:rPr>
                <w:rFonts w:ascii="sans-serif" w:hAnsi="sans-serif"/>
                <w:color w:val="000000"/>
                <w:sz w:val="21"/>
              </w:rPr>
              <w:t>Per Brodin, CFO</w:t>
            </w:r>
            <w:r>
              <w:rPr>
                <w:rFonts w:ascii="Times New Roman" w:hAnsi="Times New Roman"/>
                <w:color w:val="000000"/>
                <w:sz w:val="21"/>
              </w:rPr>
              <w:t xml:space="preserve"> </w:t>
            </w:r>
          </w:p>
        </w:tc>
        <w:tc>
          <w:tcPr>
            <w:tcW w:w="3581" w:type="dxa"/>
            <w:tcBorders/>
            <w:tcMar>
              <w:top w:w="0" w:type="dxa"/>
              <w:left w:w="0" w:type="dxa"/>
              <w:bottom w:w="0" w:type="dxa"/>
              <w:right w:w="0" w:type="dxa"/>
            </w:tcMar>
            <w:vAlign w:val="center"/>
          </w:tcPr>
          <w:p>
            <w:pPr>
              <w:pStyle w:val="TableContents"/>
              <w:bidi w:val="0"/>
              <w:spacing w:before="0" w:after="5"/>
              <w:ind w:left="0" w:right="0" w:firstLine="115"/>
              <w:jc w:val="left"/>
              <w:rPr>
                <w:rFonts w:ascii="sans-serif" w:hAnsi="sans-serif"/>
                <w:color w:val="000000"/>
                <w:sz w:val="21"/>
              </w:rPr>
            </w:pPr>
            <w:r>
              <w:rPr>
                <w:rFonts w:ascii="sans-serif" w:hAnsi="sans-serif"/>
                <w:color w:val="000000"/>
                <w:sz w:val="21"/>
              </w:rPr>
              <w:t>Robert Ferri</w:t>
            </w:r>
          </w:p>
        </w:tc>
      </w:tr>
      <w:tr>
        <w:trPr/>
        <w:tc>
          <w:tcPr>
            <w:tcW w:w="4650" w:type="dxa"/>
            <w:tcBorders/>
            <w:tcMar>
              <w:top w:w="0" w:type="dxa"/>
              <w:left w:w="0" w:type="dxa"/>
              <w:bottom w:w="0" w:type="dxa"/>
              <w:right w:w="0" w:type="dxa"/>
            </w:tcMar>
            <w:vAlign w:val="center"/>
          </w:tcPr>
          <w:p>
            <w:pPr>
              <w:pStyle w:val="TableContents"/>
              <w:bidi w:val="0"/>
              <w:spacing w:before="0" w:after="283"/>
              <w:ind w:left="0" w:right="0" w:firstLine="10"/>
              <w:jc w:val="left"/>
              <w:rPr>
                <w:rFonts w:ascii="Times New Roman" w:hAnsi="Times New Roman"/>
                <w:sz w:val="21"/>
              </w:rPr>
            </w:pPr>
            <w:r>
              <w:rPr>
                <w:rFonts w:ascii="sans-serif" w:hAnsi="sans-serif"/>
                <w:color w:val="000000"/>
                <w:sz w:val="21"/>
              </w:rPr>
              <w:t>Orion Energy Systems, Inc.</w:t>
            </w:r>
            <w:r>
              <w:rPr>
                <w:rFonts w:ascii="Times New Roman" w:hAnsi="Times New Roman"/>
                <w:color w:val="000000"/>
                <w:sz w:val="21"/>
              </w:rPr>
              <w:t xml:space="preserve"> </w:t>
            </w:r>
          </w:p>
        </w:tc>
        <w:tc>
          <w:tcPr>
            <w:tcW w:w="3581" w:type="dxa"/>
            <w:tcBorders/>
            <w:tcMar>
              <w:top w:w="0" w:type="dxa"/>
              <w:left w:w="0" w:type="dxa"/>
              <w:bottom w:w="0" w:type="dxa"/>
              <w:right w:w="0" w:type="dxa"/>
            </w:tcMar>
            <w:vAlign w:val="center"/>
          </w:tcPr>
          <w:p>
            <w:pPr>
              <w:pStyle w:val="TableContents"/>
              <w:bidi w:val="0"/>
              <w:spacing w:before="0" w:after="5"/>
              <w:ind w:left="0" w:right="0" w:firstLine="115"/>
              <w:jc w:val="left"/>
              <w:rPr>
                <w:rFonts w:ascii="sans-serif" w:hAnsi="sans-serif"/>
                <w:color w:val="000000"/>
                <w:sz w:val="21"/>
              </w:rPr>
            </w:pPr>
            <w:r>
              <w:rPr>
                <w:rFonts w:ascii="sans-serif" w:hAnsi="sans-serif"/>
                <w:color w:val="000000"/>
                <w:sz w:val="21"/>
              </w:rPr>
              <w:t>Robert Ferri Partners</w:t>
            </w:r>
          </w:p>
        </w:tc>
      </w:tr>
      <w:tr>
        <w:trPr/>
        <w:tc>
          <w:tcPr>
            <w:tcW w:w="4650" w:type="dxa"/>
            <w:tcBorders/>
            <w:tcMar>
              <w:top w:w="0" w:type="dxa"/>
              <w:left w:w="0" w:type="dxa"/>
              <w:bottom w:w="0" w:type="dxa"/>
              <w:right w:w="0" w:type="dxa"/>
            </w:tcMar>
            <w:vAlign w:val="center"/>
          </w:tcPr>
          <w:p>
            <w:pPr>
              <w:pStyle w:val="TableContents"/>
              <w:bidi w:val="0"/>
              <w:spacing w:before="0" w:after="283"/>
              <w:ind w:left="0" w:right="0" w:firstLine="10"/>
              <w:jc w:val="left"/>
              <w:rPr>
                <w:rFonts w:ascii="Times New Roman" w:hAnsi="Times New Roman"/>
                <w:sz w:val="21"/>
              </w:rPr>
            </w:pPr>
            <w:r>
              <w:rPr>
                <w:rFonts w:ascii="sans-serif" w:hAnsi="sans-serif"/>
                <w:color w:val="0432FF"/>
                <w:sz w:val="21"/>
                <w:u w:val="single"/>
              </w:rPr>
              <w:t>pbrodin@oesx.com</w:t>
            </w:r>
            <w:r>
              <w:rPr>
                <w:rFonts w:ascii="Times New Roman" w:hAnsi="Times New Roman"/>
                <w:color w:val="0432FF"/>
                <w:sz w:val="21"/>
              </w:rPr>
              <w:t xml:space="preserve"> </w:t>
            </w:r>
          </w:p>
        </w:tc>
        <w:tc>
          <w:tcPr>
            <w:tcW w:w="3581" w:type="dxa"/>
            <w:tcBorders/>
            <w:tcMar>
              <w:top w:w="0" w:type="dxa"/>
              <w:left w:w="0" w:type="dxa"/>
              <w:bottom w:w="0" w:type="dxa"/>
              <w:right w:w="0" w:type="dxa"/>
            </w:tcMar>
            <w:vAlign w:val="center"/>
          </w:tcPr>
          <w:p>
            <w:pPr>
              <w:pStyle w:val="TableContents"/>
              <w:bidi w:val="0"/>
              <w:spacing w:before="0" w:after="5"/>
              <w:ind w:left="0" w:right="0" w:firstLine="10"/>
              <w:jc w:val="both"/>
              <w:rPr>
                <w:rFonts w:ascii="Times New Roman" w:hAnsi="Times New Roman"/>
                <w:sz w:val="21"/>
              </w:rPr>
            </w:pPr>
            <w:r>
              <w:rPr>
                <w:rFonts w:ascii="sans-serif" w:hAnsi="sans-serif"/>
                <w:color w:val="000000"/>
                <w:sz w:val="21"/>
              </w:rPr>
              <w:t xml:space="preserve">(415) 575-1589 or </w:t>
            </w:r>
            <w:r>
              <w:rPr>
                <w:rFonts w:ascii="sans-serif" w:hAnsi="sans-serif"/>
                <w:color w:val="0432FF"/>
                <w:sz w:val="21"/>
                <w:u w:val="single"/>
              </w:rPr>
              <w:t>ir@oesx.com</w:t>
            </w:r>
            <w:r>
              <w:rPr>
                <w:rFonts w:ascii="Times New Roman" w:hAnsi="Times New Roman"/>
                <w:color w:val="0432FF"/>
                <w:sz w:val="21"/>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5"/>
        <w:jc w:val="center"/>
        <w:rPr>
          <w:rFonts w:ascii="sans-serif" w:hAnsi="sans-serif"/>
          <w:b/>
          <w:color w:val="000000"/>
          <w:sz w:val="22"/>
        </w:rPr>
      </w:pPr>
      <w:r>
        <w:rPr>
          <w:rFonts w:ascii="sans-serif" w:hAnsi="sans-serif"/>
          <w:b/>
          <w:color w:val="000000"/>
          <w:sz w:val="22"/>
        </w:rPr>
        <w:t>ORION ENERGY SYSTEMS, INC. AND SUBSIDIARIES</w:t>
      </w:r>
    </w:p>
    <w:p>
      <w:pPr>
        <w:pStyle w:val="TextBody"/>
        <w:bidi w:val="0"/>
        <w:spacing w:before="0" w:after="5"/>
        <w:jc w:val="center"/>
        <w:rPr>
          <w:rFonts w:ascii="sans-serif" w:hAnsi="sans-serif"/>
          <w:b/>
          <w:color w:val="000000"/>
          <w:sz w:val="22"/>
        </w:rPr>
      </w:pPr>
      <w:r>
        <w:rPr>
          <w:rFonts w:ascii="sans-serif" w:hAnsi="sans-serif"/>
          <w:b/>
          <w:color w:val="000000"/>
          <w:sz w:val="22"/>
        </w:rPr>
        <w:t>UNAUDITED CONDENSED CONSOLIDATED STATEMENTS OF OPERATIONS</w:t>
      </w:r>
    </w:p>
    <w:p>
      <w:pPr>
        <w:pStyle w:val="TextBody"/>
        <w:bidi w:val="0"/>
        <w:spacing w:before="0" w:after="180"/>
        <w:jc w:val="center"/>
        <w:rPr>
          <w:rFonts w:ascii="sans-serif" w:hAnsi="sans-serif"/>
          <w:b/>
          <w:color w:val="000000"/>
          <w:sz w:val="22"/>
        </w:rPr>
      </w:pPr>
      <w:r>
        <w:rPr>
          <w:rFonts w:ascii="sans-serif" w:hAnsi="sans-serif"/>
          <w:b/>
          <w:color w:val="000000"/>
          <w:sz w:val="22"/>
        </w:rPr>
        <w:t>(in thousands, except share and per share amounts)</w:t>
      </w:r>
    </w:p>
    <w:p>
      <w:pPr>
        <w:pStyle w:val="TextBody"/>
        <w:bidi w:val="0"/>
        <w:spacing w:before="0" w:after="5"/>
        <w:jc w:val="left"/>
        <w:rPr/>
      </w:pPr>
      <w:r>
        <w:rPr/>
        <w:t> </w:t>
      </w:r>
    </w:p>
    <w:tbl>
      <w:tblPr>
        <w:tblW w:w="7049" w:type="dxa"/>
        <w:jc w:val="left"/>
        <w:tblInd w:w="0" w:type="dxa"/>
        <w:tblLayout w:type="fixed"/>
        <w:tblCellMar>
          <w:top w:w="28" w:type="dxa"/>
          <w:left w:w="28" w:type="dxa"/>
          <w:bottom w:w="28" w:type="dxa"/>
          <w:right w:w="28" w:type="dxa"/>
        </w:tblCellMar>
      </w:tblPr>
      <w:tblGrid>
        <w:gridCol w:w="3916"/>
        <w:gridCol w:w="146"/>
        <w:gridCol w:w="211"/>
        <w:gridCol w:w="931"/>
        <w:gridCol w:w="166"/>
        <w:gridCol w:w="146"/>
        <w:gridCol w:w="211"/>
        <w:gridCol w:w="931"/>
        <w:gridCol w:w="3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issue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4,059,842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3,331,524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and share</w:t>
              <w:br/>
              <w:t>   equivalents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4,162,795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3,331,524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5"/>
        <w:jc w:val="left"/>
        <w:rPr/>
      </w:pPr>
      <w:r>
        <w:rPr/>
        <w:t> </w:t>
      </w:r>
    </w:p>
    <w:p>
      <w:pPr>
        <w:pStyle w:val="TextBody"/>
        <w:bidi w:val="0"/>
        <w:spacing w:before="0" w:after="5"/>
        <w:jc w:val="left"/>
        <w:rPr/>
      </w:pPr>
      <w:r>
        <w:rPr/>
        <w:t> </w:t>
      </w:r>
    </w:p>
    <w:p>
      <w:pPr>
        <w:pStyle w:val="TextBody"/>
        <w:bidi w:val="0"/>
        <w:spacing w:before="0" w:after="5"/>
        <w:jc w:val="left"/>
        <w:rPr/>
      </w:pPr>
      <w:r>
        <w:rPr/>
        <w:t> </w:t>
      </w:r>
    </w:p>
    <w:p>
      <w:pPr>
        <w:pStyle w:val="TextBody"/>
        <w:bidi w:val="0"/>
        <w:spacing w:before="0" w:after="5"/>
        <w:jc w:val="left"/>
        <w:rPr/>
      </w:pPr>
      <w:r>
        <w:rPr/>
        <w:t> </w:t>
      </w:r>
    </w:p>
    <w:p>
      <w:pPr>
        <w:pStyle w:val="TextBody"/>
        <w:bidi w:val="0"/>
        <w:spacing w:before="0" w:after="5"/>
        <w:jc w:val="left"/>
        <w:rPr/>
      </w:pPr>
      <w:r>
        <w:rPr/>
        <w:t> </w:t>
      </w:r>
    </w:p>
    <w:p>
      <w:pPr>
        <w:pStyle w:val="TextBody"/>
        <w:bidi w:val="0"/>
        <w:spacing w:before="0" w:after="5"/>
        <w:jc w:val="left"/>
        <w:rPr/>
      </w:pPr>
      <w:r>
        <w:rPr/>
        <w:t> </w:t>
      </w:r>
    </w:p>
    <w:p>
      <w:pPr>
        <w:pStyle w:val="TextBody"/>
        <w:bidi w:val="0"/>
        <w:spacing w:before="0" w:after="5"/>
        <w:jc w:val="left"/>
        <w:rPr/>
      </w:pPr>
      <w:r>
        <w:rPr/>
        <w:t> </w:t>
      </w:r>
    </w:p>
    <w:p>
      <w:pPr>
        <w:pStyle w:val="TextBody"/>
        <w:bidi w:val="0"/>
        <w:spacing w:before="0" w:after="5"/>
        <w:jc w:val="left"/>
        <w:rPr/>
      </w:pPr>
      <w:r>
        <w:rPr/>
        <w:t> </w:t>
      </w:r>
    </w:p>
    <w:p>
      <w:pPr>
        <w:pStyle w:val="TextBody"/>
        <w:bidi w:val="0"/>
        <w:spacing w:before="0" w:after="5"/>
        <w:jc w:val="left"/>
        <w:rPr/>
      </w:pPr>
      <w:r>
        <w:rPr/>
        <w:t> </w:t>
      </w:r>
    </w:p>
    <w:p>
      <w:pPr>
        <w:pStyle w:val="TextBody"/>
        <w:bidi w:val="0"/>
        <w:spacing w:before="0" w:after="5"/>
        <w:jc w:val="left"/>
        <w:rPr/>
      </w:pPr>
      <w:r>
        <w:rPr/>
        <w:t> </w:t>
      </w:r>
    </w:p>
    <w:p>
      <w:pPr>
        <w:pStyle w:val="TextBody"/>
        <w:bidi w:val="0"/>
        <w:spacing w:before="0" w:after="5"/>
        <w:jc w:val="left"/>
        <w:rPr/>
      </w:pPr>
      <w:r>
        <w:rPr/>
        <w:t> </w:t>
      </w:r>
    </w:p>
    <w:p>
      <w:pPr>
        <w:pStyle w:val="TextBody"/>
        <w:bidi w:val="0"/>
        <w:spacing w:before="0" w:after="5"/>
        <w:jc w:val="left"/>
        <w:rPr/>
      </w:pPr>
      <w:r>
        <w:rPr/>
        <w:t> </w:t>
      </w:r>
    </w:p>
    <w:p>
      <w:pPr>
        <w:pStyle w:val="TextBody"/>
        <w:bidi w:val="0"/>
        <w:spacing w:before="0" w:after="5"/>
        <w:jc w:val="left"/>
        <w:rPr/>
      </w:pPr>
      <w:r>
        <w:rPr/>
        <w:t> </w:t>
      </w:r>
    </w:p>
    <w:p>
      <w:pPr>
        <w:pStyle w:val="TextBody"/>
        <w:bidi w:val="0"/>
        <w:spacing w:before="0" w:after="5"/>
        <w:jc w:val="left"/>
        <w:rPr/>
      </w:pPr>
      <w:r>
        <w:rPr/>
        <w:t> </w:t>
      </w:r>
    </w:p>
    <w:p>
      <w:pPr>
        <w:pStyle w:val="TextBody"/>
        <w:bidi w:val="0"/>
        <w:spacing w:before="0" w:after="5"/>
        <w:jc w:val="left"/>
        <w:rPr/>
      </w:pPr>
      <w:r>
        <w:rPr/>
        <w:t> </w:t>
      </w:r>
    </w:p>
    <w:p>
      <w:pPr>
        <w:pStyle w:val="TextBody"/>
        <w:bidi w:val="0"/>
        <w:spacing w:before="0" w:after="5"/>
        <w:jc w:val="left"/>
        <w:rPr/>
      </w:pPr>
      <w:r>
        <w:rPr/>
        <w:t> </w:t>
      </w:r>
    </w:p>
    <w:p>
      <w:pPr>
        <w:pStyle w:val="TextBody"/>
        <w:bidi w:val="0"/>
        <w:spacing w:before="0" w:after="5"/>
        <w:jc w:val="left"/>
        <w:rPr/>
      </w:pPr>
      <w:r>
        <w:rPr/>
        <w:t> </w:t>
      </w:r>
    </w:p>
    <w:p>
      <w:pPr>
        <w:pStyle w:val="TextBody"/>
        <w:bidi w:val="0"/>
        <w:spacing w:before="0" w:after="5"/>
        <w:jc w:val="left"/>
        <w:rPr/>
      </w:pPr>
      <w:r>
        <w:rPr/>
        <w:t> </w:t>
      </w:r>
    </w:p>
    <w:p>
      <w:pPr>
        <w:pStyle w:val="TextBody"/>
        <w:bidi w:val="0"/>
        <w:spacing w:before="0" w:after="5"/>
        <w:jc w:val="left"/>
        <w:rPr/>
      </w:pPr>
      <w:r>
        <w:rPr/>
        <w:t> </w:t>
      </w:r>
    </w:p>
    <w:p>
      <w:pPr>
        <w:pStyle w:val="TextBody"/>
        <w:bidi w:val="0"/>
        <w:spacing w:before="0" w:after="5"/>
        <w:jc w:val="left"/>
        <w:rPr/>
      </w:pPr>
      <w:r>
        <w:rPr/>
        <w:t> </w:t>
      </w:r>
    </w:p>
    <w:p>
      <w:pPr>
        <w:pStyle w:val="TextBody"/>
        <w:bidi w:val="0"/>
        <w:spacing w:before="0" w:after="5"/>
        <w:jc w:val="left"/>
        <w:rPr/>
      </w:pPr>
      <w:r>
        <w:rPr/>
        <w:t> </w:t>
      </w:r>
    </w:p>
    <w:p>
      <w:pPr>
        <w:pStyle w:val="TextBody"/>
        <w:bidi w:val="0"/>
        <w:spacing w:before="0" w:after="5"/>
        <w:jc w:val="left"/>
        <w:rPr/>
      </w:pPr>
      <w:r>
        <w:rPr/>
        <w:t> </w:t>
      </w:r>
    </w:p>
    <w:p>
      <w:pPr>
        <w:pStyle w:val="TextBody"/>
        <w:bidi w:val="0"/>
        <w:spacing w:before="0" w:after="5"/>
        <w:jc w:val="center"/>
        <w:rPr/>
      </w:pPr>
      <w:r>
        <w:rPr/>
        <w:t> </w:t>
      </w:r>
    </w:p>
    <w:p>
      <w:pPr>
        <w:pStyle w:val="TextBody"/>
        <w:bidi w:val="0"/>
        <w:spacing w:before="0" w:after="5"/>
        <w:jc w:val="center"/>
        <w:rPr>
          <w:rFonts w:ascii="sans-serif" w:hAnsi="sans-serif"/>
          <w:b/>
          <w:color w:val="000000"/>
          <w:sz w:val="22"/>
        </w:rPr>
      </w:pPr>
      <w:r>
        <w:rPr>
          <w:rFonts w:ascii="sans-serif" w:hAnsi="sans-serif"/>
          <w:b/>
          <w:color w:val="000000"/>
          <w:sz w:val="22"/>
        </w:rPr>
        <w:t>ORION ENERGY SYSTEMS, INC. AND SUBSIDIARIES</w:t>
      </w:r>
    </w:p>
    <w:p>
      <w:pPr>
        <w:pStyle w:val="HorizontalLine"/>
        <w:pBdr>
          <w:bottom w:val="double" w:sz="2" w:space="0" w:color="808080"/>
        </w:pBdr>
        <w:bidi w:val="0"/>
        <w:spacing w:before="0" w:after="283"/>
        <w:jc w:val="left"/>
        <w:rPr/>
      </w:pPr>
      <w:r>
        <w:rPr/>
      </w:r>
    </w:p>
    <w:p>
      <w:pPr>
        <w:pStyle w:val="TextBody"/>
        <w:bidi w:val="0"/>
        <w:spacing w:before="0" w:after="5"/>
        <w:jc w:val="center"/>
        <w:rPr>
          <w:rFonts w:ascii="sans-serif" w:hAnsi="sans-serif"/>
          <w:b/>
          <w:color w:val="000000"/>
          <w:sz w:val="22"/>
        </w:rPr>
      </w:pPr>
      <w:r>
        <w:rPr>
          <w:rFonts w:ascii="sans-serif" w:hAnsi="sans-serif"/>
          <w:b/>
          <w:color w:val="000000"/>
          <w:sz w:val="22"/>
        </w:rPr>
        <w:t>UNAUDITED CONDENSED CONSOLIDATED BALANCE SHEETS</w:t>
      </w:r>
    </w:p>
    <w:p>
      <w:pPr>
        <w:pStyle w:val="TextBody"/>
        <w:bidi w:val="0"/>
        <w:spacing w:before="0" w:after="5"/>
        <w:jc w:val="center"/>
        <w:rPr>
          <w:rFonts w:ascii="sans-serif" w:hAnsi="sans-serif"/>
          <w:b/>
          <w:color w:val="000000"/>
          <w:sz w:val="22"/>
        </w:rPr>
      </w:pPr>
      <w:r>
        <w:rPr>
          <w:rFonts w:ascii="sans-serif" w:hAnsi="sans-serif"/>
          <w:b/>
          <w:color w:val="000000"/>
          <w:sz w:val="22"/>
        </w:rPr>
        <w:t>(in thousands, except share amounts)</w:t>
      </w:r>
    </w:p>
    <w:p>
      <w:pPr>
        <w:pStyle w:val="TextBody"/>
        <w:bidi w:val="0"/>
        <w:spacing w:before="0" w:after="5"/>
        <w:jc w:val="center"/>
        <w:rPr/>
      </w:pPr>
      <w:r>
        <w:rPr/>
        <w:t> </w:t>
      </w:r>
    </w:p>
    <w:tbl>
      <w:tblPr>
        <w:tblW w:w="10205" w:type="dxa"/>
        <w:jc w:val="left"/>
        <w:tblInd w:w="0" w:type="dxa"/>
        <w:tblLayout w:type="fixed"/>
        <w:tblCellMar>
          <w:top w:w="28" w:type="dxa"/>
          <w:left w:w="28" w:type="dxa"/>
          <w:bottom w:w="28" w:type="dxa"/>
          <w:right w:w="28" w:type="dxa"/>
        </w:tblCellMar>
      </w:tblPr>
      <w:tblGrid>
        <w:gridCol w:w="7017"/>
        <w:gridCol w:w="146"/>
        <w:gridCol w:w="221"/>
        <w:gridCol w:w="885"/>
        <w:gridCol w:w="166"/>
        <w:gridCol w:w="146"/>
        <w:gridCol w:w="242"/>
        <w:gridCol w:w="968"/>
        <w:gridCol w:w="414"/>
      </w:tblGrid>
      <w:tr>
        <w:trPr/>
        <w:tc>
          <w:tcPr>
            <w:tcW w:w="70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3,265</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16,340</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earned but not billed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6,409</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10,304</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37,682</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6,114</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2,646</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3,679</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51,605</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15,451</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10,728</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maturities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26,687</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less current maturities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2,619</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2,671</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34,977</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$0.01 par value: Shares authorized: 30,000,000 at</w:t>
              <w:br/>
              <w:t>June 30, 2026 and March 31, 2026; no shares issued and outstanding at June 30, 2026 and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Common stock, no par value: Shares authorized: 20,000,000 at </w:t>
              <w:br/>
              <w:t xml:space="preserve">June 30, 2026 and March 31, 2026; shares issued: 4,834,109 at </w:t>
              <w:br/>
              <w:t xml:space="preserve">June 30, 2026 and 4,819,013 at March 31, 2026; shares outstanding: </w:t>
              <w:br/>
              <w:t>4,071,624 at June 30, 2026 and 4,056,528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169,646</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stock, common shares: 762,472 at June 30, 2026 and 762,485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(34,962</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(118,056</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16,628</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51,605</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5"/>
        <w:jc w:val="center"/>
        <w:rPr>
          <w:rFonts w:ascii="sans-serif" w:hAnsi="sans-serif"/>
          <w:b/>
          <w:color w:val="000000"/>
          <w:sz w:val="22"/>
        </w:rPr>
      </w:pPr>
      <w:r>
        <w:rPr>
          <w:rFonts w:ascii="sans-serif" w:hAnsi="sans-serif"/>
          <w:b/>
          <w:color w:val="000000"/>
          <w:sz w:val="22"/>
        </w:rPr>
        <w:t>ORION ENERGY SYSTEMS, INC. AND SUBSIDIARIES</w:t>
      </w:r>
    </w:p>
    <w:p>
      <w:pPr>
        <w:pStyle w:val="TextBody"/>
        <w:bidi w:val="0"/>
        <w:spacing w:before="0" w:after="5"/>
        <w:jc w:val="center"/>
        <w:rPr>
          <w:rFonts w:ascii="sans-serif" w:hAnsi="sans-serif"/>
          <w:b/>
          <w:color w:val="000000"/>
          <w:sz w:val="22"/>
        </w:rPr>
      </w:pPr>
      <w:r>
        <w:rPr>
          <w:rFonts w:ascii="sans-serif" w:hAnsi="sans-serif"/>
          <w:b/>
          <w:color w:val="000000"/>
          <w:sz w:val="22"/>
        </w:rPr>
        <w:t>UNAUDITED CONDENSED CONSOLIDATED STATEMENTS OF CASH FLOWS</w:t>
      </w:r>
    </w:p>
    <w:p>
      <w:pPr>
        <w:pStyle w:val="TextBody"/>
        <w:bidi w:val="0"/>
        <w:spacing w:before="0" w:after="5"/>
        <w:jc w:val="center"/>
        <w:rPr>
          <w:rFonts w:ascii="sans-serif" w:hAnsi="sans-serif"/>
          <w:b/>
          <w:color w:val="000000"/>
          <w:sz w:val="22"/>
        </w:rPr>
      </w:pPr>
      <w:r>
        <w:rPr>
          <w:rFonts w:ascii="sans-serif" w:hAnsi="sans-serif"/>
          <w:b/>
          <w:color w:val="000000"/>
          <w:sz w:val="22"/>
        </w:rPr>
        <w:t>(in thousands)</w:t>
      </w:r>
    </w:p>
    <w:p>
      <w:pPr>
        <w:pStyle w:val="TextBody"/>
        <w:bidi w:val="0"/>
        <w:spacing w:before="0" w:after="5"/>
        <w:jc w:val="center"/>
        <w:rPr/>
      </w:pPr>
      <w:r>
        <w:rPr/>
        <w:t> </w:t>
      </w:r>
    </w:p>
    <w:tbl>
      <w:tblPr>
        <w:tblW w:w="9656" w:type="dxa"/>
        <w:jc w:val="left"/>
        <w:tblInd w:w="0" w:type="dxa"/>
        <w:tblLayout w:type="fixed"/>
        <w:tblCellMar>
          <w:top w:w="28" w:type="dxa"/>
          <w:left w:w="28" w:type="dxa"/>
          <w:bottom w:w="28" w:type="dxa"/>
          <w:right w:w="28" w:type="dxa"/>
        </w:tblCellMar>
      </w:tblPr>
      <w:tblGrid>
        <w:gridCol w:w="6636"/>
        <w:gridCol w:w="146"/>
        <w:gridCol w:w="239"/>
        <w:gridCol w:w="716"/>
        <w:gridCol w:w="188"/>
        <w:gridCol w:w="165"/>
        <w:gridCol w:w="239"/>
        <w:gridCol w:w="716"/>
        <w:gridCol w:w="611"/>
      </w:tblGrid>
      <w:tr>
        <w:trPr/>
        <w:tc>
          <w:tcPr>
            <w:tcW w:w="6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income (loss) to net cash provided by (used in)</w:t>
              <w:b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debt issue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Provision for inventory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Revenue earned but not billed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revenue, current and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cash provided by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1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8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1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of 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1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8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1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3,265</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5,165</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assets obtained in exchange for new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5"/>
        <w:jc w:val="center"/>
        <w:rPr>
          <w:rFonts w:ascii="sans-serif" w:hAnsi="sans-serif"/>
          <w:b/>
          <w:color w:val="000000"/>
          <w:sz w:val="22"/>
        </w:rPr>
      </w:pPr>
      <w:r>
        <w:rPr>
          <w:rFonts w:ascii="sans-serif" w:hAnsi="sans-serif"/>
          <w:b/>
          <w:color w:val="000000"/>
          <w:sz w:val="22"/>
        </w:rPr>
        <w:t>ORION ENERGY SYSTEMS, INC. AND SUBSIDIARIES</w:t>
      </w:r>
    </w:p>
    <w:p>
      <w:pPr>
        <w:pStyle w:val="TextBody"/>
        <w:bidi w:val="0"/>
        <w:spacing w:before="0" w:after="5"/>
        <w:jc w:val="center"/>
        <w:rPr>
          <w:rFonts w:ascii="sans-serif" w:hAnsi="sans-serif"/>
          <w:b/>
          <w:color w:val="000000"/>
          <w:sz w:val="22"/>
        </w:rPr>
      </w:pPr>
      <w:r>
        <w:rPr>
          <w:rFonts w:ascii="sans-serif" w:hAnsi="sans-serif"/>
          <w:b/>
          <w:color w:val="000000"/>
          <w:sz w:val="22"/>
        </w:rPr>
        <w:t>UNAUDITED EBITDA RECONCILIATION</w:t>
      </w:r>
    </w:p>
    <w:p>
      <w:pPr>
        <w:pStyle w:val="TextBody"/>
        <w:bidi w:val="0"/>
        <w:spacing w:before="0" w:after="5"/>
        <w:jc w:val="center"/>
        <w:rPr>
          <w:rFonts w:ascii="sans-serif" w:hAnsi="sans-serif"/>
          <w:b/>
          <w:color w:val="000000"/>
          <w:sz w:val="22"/>
        </w:rPr>
      </w:pPr>
      <w:r>
        <w:rPr>
          <w:rFonts w:ascii="sans-serif" w:hAnsi="sans-serif"/>
          <w:b/>
          <w:color w:val="000000"/>
          <w:sz w:val="22"/>
        </w:rPr>
        <w:t>(in thousands)</w:t>
      </w:r>
    </w:p>
    <w:p>
      <w:pPr>
        <w:pStyle w:val="TextBody"/>
        <w:bidi w:val="0"/>
        <w:spacing w:before="0" w:after="5"/>
        <w:jc w:val="left"/>
        <w:rPr/>
      </w:pPr>
      <w:r>
        <w:rPr/>
        <w:t> </w:t>
      </w:r>
    </w:p>
    <w:tbl>
      <w:tblPr>
        <w:tblW w:w="10205" w:type="dxa"/>
        <w:jc w:val="left"/>
        <w:tblInd w:w="0" w:type="dxa"/>
        <w:tblLayout w:type="fixed"/>
        <w:tblCellMar>
          <w:top w:w="28" w:type="dxa"/>
          <w:left w:w="28" w:type="dxa"/>
          <w:bottom w:w="28" w:type="dxa"/>
          <w:right w:w="28" w:type="dxa"/>
        </w:tblCellMar>
      </w:tblPr>
      <w:tblGrid>
        <w:gridCol w:w="2523"/>
        <w:gridCol w:w="146"/>
        <w:gridCol w:w="284"/>
        <w:gridCol w:w="771"/>
        <w:gridCol w:w="166"/>
        <w:gridCol w:w="146"/>
        <w:gridCol w:w="294"/>
        <w:gridCol w:w="882"/>
        <w:gridCol w:w="166"/>
        <w:gridCol w:w="146"/>
        <w:gridCol w:w="454"/>
        <w:gridCol w:w="910"/>
        <w:gridCol w:w="166"/>
        <w:gridCol w:w="146"/>
        <w:gridCol w:w="428"/>
        <w:gridCol w:w="981"/>
        <w:gridCol w:w="166"/>
        <w:gridCol w:w="146"/>
        <w:gridCol w:w="267"/>
        <w:gridCol w:w="800"/>
        <w:gridCol w:w="217"/>
      </w:tblGrid>
      <w:tr>
        <w:trPr/>
        <w:tc>
          <w:tcPr>
            <w:tcW w:w="2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25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19"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issue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Sign-on bonus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Solar contract amendment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 solar grants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Solar asset disposal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Earnout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5"/>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3629</Words>
  <Characters>20561</Characters>
  <CharactersWithSpaces>24495</CharactersWithSpaces>
  <Paragraphs>1532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