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60806.htm"/>
      <w:bookmarkStart w:id="1" w:name="ksoesx20260806"/>
      <w:bookmarkEnd w:id="0"/>
      <w:bookmarkEnd w:id="1"/>
      <w:r>
        <w:rPr/>
        <w:t> </w:t>
      </w:r>
    </w:p>
    <w:p>
      <w:pPr>
        <w:pStyle w:val="TextBody"/>
        <w:bidi w:val="0"/>
        <w:jc w:val="left"/>
        <w:rPr/>
      </w:pPr>
      <w:r>
        <w:rPr/>
        <w:t> </w:t>
      </w:r>
    </w:p>
    <w:p>
      <w:pPr>
        <w:pStyle w:val="TextBody"/>
        <w:bidi w:val="0"/>
        <w:jc w:val="center"/>
        <w:rPr>
          <w:rFonts w:ascii="Times New Roman" w:hAnsi="Times New Roman"/>
          <w:color w:val="000000"/>
          <w:sz w:val="32"/>
        </w:rPr>
      </w:pPr>
      <w:r>
        <w:rPr>
          <w:rFonts w:ascii="Times New Roman" w:hAnsi="Times New Roman"/>
          <w:color w:val="000000"/>
          <w:sz w:val="32"/>
        </w:rPr>
        <w:t>UNITED STATES</w:t>
      </w:r>
    </w:p>
    <w:p>
      <w:pPr>
        <w:pStyle w:val="TextBody"/>
        <w:bidi w:val="0"/>
        <w:jc w:val="center"/>
        <w:rPr>
          <w:rFonts w:ascii="Times New Roman" w:hAnsi="Times New Roman"/>
          <w:color w:val="000000"/>
          <w:sz w:val="32"/>
        </w:rPr>
      </w:pPr>
      <w:r>
        <w:rPr>
          <w:rFonts w:ascii="Times New Roman" w:hAnsi="Times New Roman"/>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color w:val="000000"/>
          <w:sz w:val="32"/>
        </w:rPr>
      </w:pPr>
      <w:r>
        <w:rPr>
          <w:rFonts w:ascii="Times New Roman" w:hAnsi="Times New Roman"/>
          <w:color w:val="000000"/>
          <w:sz w:val="32"/>
        </w:rPr>
        <w:t>FORM 8-K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CURRENT REPORT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Pursuant to Section 13 or 15(d) of</w:t>
      </w:r>
    </w:p>
    <w:p>
      <w:pPr>
        <w:pStyle w:val="TextBody"/>
        <w:bidi w:val="0"/>
        <w:jc w:val="center"/>
        <w:rPr>
          <w:rFonts w:ascii="Times New Roman" w:hAnsi="Times New Roman"/>
          <w:color w:val="000000"/>
          <w:sz w:val="24"/>
        </w:rPr>
      </w:pPr>
      <w:r>
        <w:rPr>
          <w:rFonts w:ascii="Times New Roman" w:hAnsi="Times New Roman"/>
          <w:color w:val="000000"/>
          <w:sz w:val="24"/>
        </w:rPr>
        <w:t>the Securities Exchange Act of 1934</w:t>
      </w:r>
    </w:p>
    <w:p>
      <w:pPr>
        <w:pStyle w:val="TextBody"/>
        <w:pBdr>
          <w:bottom w:val="single" w:sz="4" w:space="1" w:color="000000"/>
        </w:pBdr>
        <w:bidi w:val="0"/>
        <w:jc w:val="center"/>
        <w:rPr/>
      </w:pPr>
      <w:r>
        <w:rPr/>
        <w:t> </w:t>
      </w:r>
    </w:p>
    <w:p>
      <w:pPr>
        <w:pStyle w:val="TextBody"/>
        <w:bidi w:val="0"/>
        <w:jc w:val="left"/>
        <w:rPr/>
      </w:pPr>
      <w:r>
        <w:rPr/>
        <w:t> </w:t>
      </w:r>
    </w:p>
    <w:tbl>
      <w:tblPr>
        <w:tblW w:w="5503" w:type="dxa"/>
        <w:jc w:val="left"/>
        <w:tblInd w:w="0" w:type="dxa"/>
        <w:tblLayout w:type="fixed"/>
        <w:tblCellMar>
          <w:top w:w="28" w:type="dxa"/>
          <w:left w:w="28" w:type="dxa"/>
          <w:bottom w:w="28" w:type="dxa"/>
          <w:right w:w="28" w:type="dxa"/>
        </w:tblCellMar>
      </w:tblPr>
      <w:tblGrid>
        <w:gridCol w:w="3961"/>
        <w:gridCol w:w="146"/>
        <w:gridCol w:w="139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40"/>
          <w:u w:val="single"/>
        </w:rPr>
      </w:pPr>
      <w:r>
        <w:rPr>
          <w:rFonts w:ascii="Times New Roman" w:hAnsi="Times New Roman"/>
          <w:color w:val="000000"/>
          <w:sz w:val="40"/>
          <w:u w:val="single"/>
        </w:rPr>
        <w:t>ORION ENERGY SYSTEMS,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p>
      <w:pPr>
        <w:pStyle w:val="TextBody"/>
        <w:bidi w:val="0"/>
        <w:jc w:val="left"/>
        <w:rPr/>
      </w:pPr>
      <w:r>
        <w:rPr/>
        <w:t> </w:t>
      </w:r>
    </w:p>
    <w:tbl>
      <w:tblPr>
        <w:tblW w:w="3888" w:type="dxa"/>
        <w:jc w:val="left"/>
        <w:tblInd w:w="0" w:type="dxa"/>
        <w:tblLayout w:type="fixed"/>
        <w:tblCellMar>
          <w:top w:w="28" w:type="dxa"/>
          <w:left w:w="28" w:type="dxa"/>
          <w:bottom w:w="28" w:type="dxa"/>
          <w:right w:w="28" w:type="dxa"/>
        </w:tblCellMar>
      </w:tblPr>
      <w:tblGrid>
        <w:gridCol w:w="1126"/>
        <w:gridCol w:w="1321"/>
        <w:gridCol w:w="1441"/>
      </w:tblGrid>
      <w:tr>
        <w:trPr/>
        <w:tc>
          <w:tcPr>
            <w:tcW w:w="11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Wisconsin</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01-33887</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39-1847269</w:t>
            </w:r>
          </w:p>
        </w:tc>
      </w:tr>
      <w:tr>
        <w:trPr/>
        <w:tc>
          <w:tcPr>
            <w:tcW w:w="11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w:t>
            </w:r>
          </w:p>
          <w:p>
            <w:pPr>
              <w:pStyle w:val="TableContents"/>
              <w:bidi w:val="0"/>
              <w:jc w:val="center"/>
              <w:rPr>
                <w:rFonts w:ascii="Times New Roman" w:hAnsi="Times New Roman"/>
                <w:color w:val="000000"/>
                <w:sz w:val="16"/>
              </w:rPr>
            </w:pPr>
            <w:r>
              <w:rPr>
                <w:rFonts w:ascii="Times New Roman" w:hAnsi="Times New Roman"/>
                <w:color w:val="000000"/>
                <w:sz w:val="16"/>
              </w:rPr>
              <w:t>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w:t>
            </w:r>
          </w:p>
        </w:tc>
        <w:tc>
          <w:tcPr>
            <w:tcW w:w="13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 File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2210 Woodland Drive, Manitowoc, Wisconsin, 54220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(920) 892-9340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Not Applicable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p>
      <w:pPr>
        <w:pStyle w:val="TextBody"/>
        <w:bidi w:val="0"/>
        <w:spacing w:before="120" w:after="283"/>
        <w:jc w:val="both"/>
        <w:rPr/>
      </w:pPr>
      <w:r>
        <w:rPr>
          <w:color w:val="000000"/>
        </w:rPr>
        <w:t xml:space="preserve">☐ </w:t>
      </w:r>
      <w:r>
        <w:rPr>
          <w:rFonts w:ascii="Times New Roman" w:hAnsi="Times New Roman"/>
          <w:color w:val="000000"/>
          <w:sz w:val="16"/>
        </w:rPr>
        <w:t>Written communications pursuant to Rule 425 under the Securities Act (17 CFR 230.425)</w:t>
      </w:r>
    </w:p>
    <w:p>
      <w:pPr>
        <w:pStyle w:val="TextBody"/>
        <w:bidi w:val="0"/>
        <w:spacing w:before="120" w:after="283"/>
        <w:jc w:val="both"/>
        <w:rPr/>
      </w:pPr>
      <w:r>
        <w:rPr>
          <w:color w:val="000000"/>
        </w:rPr>
        <w:t xml:space="preserve">☐ </w:t>
      </w:r>
      <w:r>
        <w:rPr>
          <w:rFonts w:ascii="Times New Roman" w:hAnsi="Times New Roman"/>
          <w:color w:val="000000"/>
          <w:sz w:val="16"/>
        </w:rPr>
        <w:t>Soliciting material pursuant to Rule 14a-12 under the Exchange Act (17 CFR 240.14a-12)</w:t>
      </w:r>
    </w:p>
    <w:p>
      <w:pPr>
        <w:pStyle w:val="TextBody"/>
        <w:bidi w:val="0"/>
        <w:spacing w:before="120" w:after="283"/>
        <w:jc w:val="both"/>
        <w:rPr/>
      </w:pPr>
      <w:r>
        <w:rPr>
          <w:color w:val="000000"/>
        </w:rPr>
        <w:t xml:space="preserve">☐ </w:t>
      </w:r>
      <w:r>
        <w:rPr>
          <w:rFonts w:ascii="Times New Roman" w:hAnsi="Times New Roman"/>
          <w:color w:val="000000"/>
          <w:sz w:val="16"/>
        </w:rPr>
        <w:t>Pre-commencement communications pursuant to Rule 14d-2(b) under the Exchange Act (17 CFR 240.14d-2(b))</w:t>
      </w:r>
    </w:p>
    <w:p>
      <w:pPr>
        <w:pStyle w:val="TextBody"/>
        <w:bidi w:val="0"/>
        <w:spacing w:before="120" w:after="283"/>
        <w:jc w:val="both"/>
        <w:rPr/>
      </w:pPr>
      <w:r>
        <w:rPr>
          <w:color w:val="000000"/>
        </w:rPr>
        <w:t xml:space="preserve">☐ </w:t>
      </w:r>
      <w:r>
        <w:rPr>
          <w:rFonts w:ascii="Times New Roman" w:hAnsi="Times New Roman"/>
          <w:color w:val="000000"/>
          <w:sz w:val="16"/>
        </w:rPr>
        <w:t>Pre-commencement communications pursuant to Rule 13e-4(c) under the Exchange Act (17 CFR 240.13e-4(c)</w:t>
      </w:r>
    </w:p>
    <w:p>
      <w:pPr>
        <w:pStyle w:val="TextBody"/>
        <w:bidi w:val="0"/>
        <w:spacing w:before="40" w:after="16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both"/>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0"/>
        <w:gridCol w:w="9395"/>
      </w:tblGrid>
      <w:tr>
        <w:trPr/>
        <w:tc>
          <w:tcPr>
            <w:tcW w:w="810"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left"/>
              <w:rPr>
                <w:sz w:val="4"/>
                <w:szCs w:val="4"/>
              </w:rPr>
            </w:pPr>
            <w:r>
              <w:rPr>
                <w:sz w:val="4"/>
                <w:szCs w:val="4"/>
              </w:rPr>
            </w:r>
          </w:p>
        </w:tc>
      </w:tr>
      <w:tr>
        <w:trPr/>
        <w:tc>
          <w:tcPr>
            <w:tcW w:w="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Departure of Directors or Certain Officers; Election of Directors; Appointment of Certain Officers; Compensatory Arrangements of Certain Officers</w:t>
            </w:r>
            <w:r>
              <w:rPr>
                <w:rFonts w:ascii="Times New Roman" w:hAnsi="Times New Roman"/>
                <w:b/>
                <w:color w:val="000000"/>
                <w:sz w:val="20"/>
              </w:rPr>
              <w:t>.</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Approval of Amended and Restated Orion Energy Systems, Inc. 2016 Omnibus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2026 Annual Meeting of Shareholders of Orion Energy Systems, Inc. (the “Company”), held on August 6, 2026 (the “2026 Annual Meeting”), the Company’s shareholders approved the Orion Energy Systems, Inc. 2016 Omnibus Incentive Plan, as amended and restated (the “Amended 2016 Plan”). Approval of the Amended 2016 Plan increased the number of shares of the Company’s common stock available for issuance under the Amended 2016 Plan from 600,000 shares to 900,000 shares (an increase of 300,000 shares) and extended the term of the Amended 2016 Plan to the tenth (10th) anniversary of the date of the 2026 Annual Meeting. Additionally, approval of the Amended 2016 Plan resulted in minor modification of the annual non-employee director award limits, providing that the aggregate grant date fair value of all awards granted to any non-employee during any single calendar year, taken together with any cash fees paid to such person during such calendar year, in each case for service as a director, shall not exceed $500,000.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previously disclosed in the Company’s definitive proxy statement filed with the Securities and Exchange Commission on June 23, 2026 (the “Definitive Proxy Statement”), the Company cannot currently determine the benefits, if any, to be paid under the Amended 2016 Plan in the future to the Company’s officers, including the Company’s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2016 Plan is described in the Definitive Proxy Statement. The description of the Amended 2016 Plan set forth above does not purport to be complete and is qualified in its entirety by reference to the full text of the Amended 2016 Plan, a copy of which is filed as Exhibit 10.1 to this Current Report on Form 8-K and incorporated by reference herein. </w:t>
      </w:r>
    </w:p>
    <w:p>
      <w:pPr>
        <w:pStyle w:val="TextBody"/>
        <w:bidi w:val="0"/>
        <w:spacing w:before="120" w:after="283"/>
        <w:jc w:val="left"/>
        <w:rPr/>
      </w:pPr>
      <w:r>
        <w:rPr/>
        <w:t> </w:t>
      </w:r>
    </w:p>
    <w:tbl>
      <w:tblPr>
        <w:tblW w:w="5507" w:type="dxa"/>
        <w:jc w:val="left"/>
        <w:tblInd w:w="0" w:type="dxa"/>
        <w:tblLayout w:type="fixed"/>
        <w:tblCellMar>
          <w:top w:w="28" w:type="dxa"/>
          <w:left w:w="28" w:type="dxa"/>
          <w:bottom w:w="28" w:type="dxa"/>
          <w:right w:w="28" w:type="dxa"/>
        </w:tblCellMar>
      </w:tblPr>
      <w:tblGrid>
        <w:gridCol w:w="916"/>
        <w:gridCol w:w="4591"/>
      </w:tblGrid>
      <w:tr>
        <w:trPr/>
        <w:tc>
          <w:tcPr>
            <w:tcW w:w="91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Submission of Matters to a Vote of Security Holders</w:t>
            </w:r>
            <w:r>
              <w:rPr>
                <w:rFonts w:ascii="Times New Roman" w:hAnsi="Times New Roman"/>
                <w:b/>
                <w:color w:val="000000"/>
                <w:sz w:val="20"/>
              </w:rPr>
              <w:t>.</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on August 6, 2026, the Company held its 2026 Annual Meeting. As of the June 10, 2026 record date for the determination of the shareholders entitled to notice of, and to vote at, the 2026 Annual Meeting, 4,056,568 shares of common stock of the Company were outstanding and entitled to vote, each entitled to one vote per share. Approximately 70% of all shares of common stock outstanding and entitled to vote were represented at the 2026 Annual Meeting in person or by proxy. At the 2026 Annual Meeting, the Company’s shareholders voted on the following proposals: </w:t>
      </w:r>
    </w:p>
    <w:p>
      <w:pPr>
        <w:pStyle w:val="TextBody"/>
        <w:bidi w:val="0"/>
        <w:spacing w:before="240" w:after="283"/>
        <w:jc w:val="left"/>
        <w:rPr>
          <w:rFonts w:ascii="Times New Roman" w:hAnsi="Times New Roman"/>
          <w:sz w:val="20"/>
        </w:rPr>
      </w:pPr>
      <w:r>
        <w:rPr>
          <w:rFonts w:ascii="Times New Roman" w:hAnsi="Times New Roman"/>
          <w:i/>
          <w:color w:val="000000"/>
          <w:sz w:val="20"/>
        </w:rPr>
        <w:t>Proposal One-Election of Directors</w:t>
      </w:r>
      <w:r>
        <w:rPr>
          <w:rFonts w:ascii="Times New Roman" w:hAnsi="Times New Roman"/>
          <w:color w:val="000000"/>
          <w:sz w:val="20"/>
        </w:rPr>
        <w:t xml:space="preserve">: To elect two Class I directors, Richard A. Shapiro and Heather L. Wishart-Smith, to serve until the Company’s 2029 Annual Meeting of Shareholders, and until their successors have been duly elected and qualified. In accordance with the voting results listed below, each of the nominees were elected as directors by over 93% of the votes cast. </w:t>
      </w:r>
    </w:p>
    <w:p>
      <w:pPr>
        <w:pStyle w:val="TextBody"/>
        <w:bidi w:val="0"/>
        <w:spacing w:before="240" w:after="283"/>
        <w:jc w:val="left"/>
        <w:rPr/>
      </w:pPr>
      <w:r>
        <w:rPr/>
        <w:t> </w:t>
      </w:r>
    </w:p>
    <w:tbl>
      <w:tblPr>
        <w:tblW w:w="6829" w:type="dxa"/>
        <w:jc w:val="left"/>
        <w:tblInd w:w="0" w:type="dxa"/>
        <w:tblLayout w:type="fixed"/>
        <w:tblCellMar>
          <w:top w:w="28" w:type="dxa"/>
          <w:left w:w="28" w:type="dxa"/>
          <w:bottom w:w="28" w:type="dxa"/>
          <w:right w:w="28" w:type="dxa"/>
        </w:tblCellMar>
      </w:tblPr>
      <w:tblGrid>
        <w:gridCol w:w="2376"/>
        <w:gridCol w:w="109"/>
        <w:gridCol w:w="931"/>
        <w:gridCol w:w="146"/>
        <w:gridCol w:w="146"/>
        <w:gridCol w:w="146"/>
        <w:gridCol w:w="781"/>
        <w:gridCol w:w="146"/>
        <w:gridCol w:w="146"/>
        <w:gridCol w:w="146"/>
        <w:gridCol w:w="1232"/>
        <w:gridCol w:w="193"/>
        <w:gridCol w:w="331"/>
      </w:tblGrid>
      <w:tr>
        <w:trPr/>
        <w:tc>
          <w:tcPr>
            <w:tcW w:w="2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Withheld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Richard A. Shapiro</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1,646,626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95,562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1,128,860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7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Heather L. Wishart-Smith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1,635,992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107,196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1,128,860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Proposal Two-Say-On-Pay</w:t>
      </w:r>
      <w:r>
        <w:rPr>
          <w:rFonts w:ascii="Times New Roman" w:hAnsi="Times New Roman"/>
          <w:color w:val="000000"/>
          <w:sz w:val="20"/>
        </w:rPr>
        <w:t xml:space="preserve">: To conduct an advisory vote to approve the compensation of the Company’s named executive officers as disclosed in the Definitive Proxy Statement. In accordance with the voting results listed below, the Company’s executive compensation as disclosed in the Definitive Proxy Statement has been approved by over 95% of the votes cast. </w:t>
      </w:r>
    </w:p>
    <w:p>
      <w:pPr>
        <w:pStyle w:val="TextBody"/>
        <w:bidi w:val="0"/>
        <w:jc w:val="left"/>
        <w:rPr/>
      </w:pPr>
      <w:r>
        <w:rPr/>
        <w:t> </w:t>
      </w:r>
    </w:p>
    <w:tbl>
      <w:tblPr>
        <w:tblW w:w="4207" w:type="dxa"/>
        <w:jc w:val="left"/>
        <w:tblInd w:w="0" w:type="dxa"/>
        <w:tblLayout w:type="fixed"/>
        <w:tblCellMar>
          <w:top w:w="28" w:type="dxa"/>
          <w:left w:w="28" w:type="dxa"/>
          <w:bottom w:w="28" w:type="dxa"/>
          <w:right w:w="28" w:type="dxa"/>
        </w:tblCellMar>
      </w:tblPr>
      <w:tblGrid>
        <w:gridCol w:w="946"/>
        <w:gridCol w:w="146"/>
        <w:gridCol w:w="676"/>
        <w:gridCol w:w="146"/>
        <w:gridCol w:w="676"/>
        <w:gridCol w:w="146"/>
        <w:gridCol w:w="147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1,616,787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55,327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1,128,860</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Proposal Three-Ratification of Independent Public Accountant:</w:t>
      </w:r>
      <w:r>
        <w:rPr>
          <w:rFonts w:ascii="Times New Roman" w:hAnsi="Times New Roman"/>
          <w:color w:val="000000"/>
          <w:sz w:val="20"/>
        </w:rPr>
        <w:t xml:space="preserve"> To ratify BDO USA, P.C. to serve as the Company’s independent registered public accounting firm for its 2027 fiscal year. In accordance with the voting results listed below, BDO USA, P.C. was ratified by over 99% of the votes cast and BDO USA, P.C. will serve as the independent registered certified public accountants for the Company’s fiscal year 2027. </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946"/>
        <w:gridCol w:w="146"/>
        <w:gridCol w:w="676"/>
        <w:gridCol w:w="146"/>
        <w:gridCol w:w="661"/>
        <w:gridCol w:w="146"/>
        <w:gridCol w:w="147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2,839,473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Proposal Four-Amended 2016 Plan Proposal:</w:t>
      </w:r>
      <w:r>
        <w:rPr>
          <w:rFonts w:ascii="Times New Roman" w:hAnsi="Times New Roman"/>
          <w:color w:val="000000"/>
          <w:sz w:val="20"/>
        </w:rPr>
        <w:t xml:space="preserve"> To approve the Amended 2016 Plan. In accordance with the voting results listed below, the Amended 2016 Plan has been approved by over 82% of the votes cast</w:t>
      </w:r>
    </w:p>
    <w:p>
      <w:pPr>
        <w:pStyle w:val="TextBody"/>
        <w:bidi w:val="0"/>
        <w:jc w:val="left"/>
        <w:rPr/>
      </w:pPr>
      <w:r>
        <w:rPr/>
        <w:t> </w:t>
      </w:r>
    </w:p>
    <w:tbl>
      <w:tblPr>
        <w:tblW w:w="4312" w:type="dxa"/>
        <w:jc w:val="left"/>
        <w:tblInd w:w="0" w:type="dxa"/>
        <w:tblLayout w:type="fixed"/>
        <w:tblCellMar>
          <w:top w:w="28" w:type="dxa"/>
          <w:left w:w="28" w:type="dxa"/>
          <w:bottom w:w="28" w:type="dxa"/>
          <w:right w:w="28" w:type="dxa"/>
        </w:tblCellMar>
      </w:tblPr>
      <w:tblGrid>
        <w:gridCol w:w="946"/>
        <w:gridCol w:w="146"/>
        <w:gridCol w:w="781"/>
        <w:gridCol w:w="146"/>
        <w:gridCol w:w="676"/>
        <w:gridCol w:w="146"/>
        <w:gridCol w:w="147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1,400,999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301,419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40,770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1,128,860</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16"/>
        <w:gridCol w:w="3121"/>
      </w:tblGrid>
      <w:tr>
        <w:trPr/>
        <w:tc>
          <w:tcPr>
            <w:tcW w:w="91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Financial Statements and Exhibits</w:t>
            </w:r>
            <w:r>
              <w:rPr>
                <w:rFonts w:ascii="Times New Roman" w:hAnsi="Times New Roman"/>
                <w:b/>
                <w:color w:val="000000"/>
                <w:sz w:val="20"/>
              </w:rPr>
              <w:t>.</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 Exhibits.</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12"/>
        <w:gridCol w:w="146"/>
        <w:gridCol w:w="8847"/>
      </w:tblGrid>
      <w:tr>
        <w:trPr/>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7" w:type="dxa"/>
            <w:tcBorders/>
            <w:vAlign w:val="center"/>
          </w:tcPr>
          <w:p>
            <w:pPr>
              <w:pStyle w:val="TableContents"/>
              <w:bidi w:val="0"/>
              <w:spacing w:before="0" w:after="283"/>
              <w:jc w:val="left"/>
              <w:rPr>
                <w:sz w:val="4"/>
                <w:szCs w:val="4"/>
              </w:rPr>
            </w:pPr>
            <w:r>
              <w:rPr>
                <w:sz w:val="4"/>
                <w:szCs w:val="4"/>
              </w:rPr>
            </w:r>
          </w:p>
        </w:tc>
      </w:tr>
      <w:tr>
        <w:trPr/>
        <w:tc>
          <w:tcPr>
            <w:tcW w:w="12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Title</w:t>
            </w:r>
          </w:p>
        </w:tc>
      </w:tr>
      <w:tr>
        <w:trPr/>
        <w:tc>
          <w:tcPr>
            <w:tcW w:w="1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Orion Energy Systems, Inc. 2016 Omnibus Incentive Plan, as amended and restated (incorporated by reference to Annex A to the Company's definitive proxy statement filed with the Securities and Exchange Commission on Schedule 14A on June 23, 2026).</w:t>
              </w:r>
            </w:hyperlink>
          </w:p>
        </w:tc>
      </w:tr>
      <w:tr>
        <w:trPr/>
        <w:tc>
          <w:tcPr>
            <w:tcW w:w="12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SIGNATURES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852" w:type="dxa"/>
        <w:jc w:val="left"/>
        <w:tblInd w:w="0" w:type="dxa"/>
        <w:tblLayout w:type="fixed"/>
        <w:tblCellMar>
          <w:top w:w="28" w:type="dxa"/>
          <w:left w:w="28" w:type="dxa"/>
          <w:bottom w:w="28" w:type="dxa"/>
          <w:right w:w="28" w:type="dxa"/>
        </w:tblCellMar>
      </w:tblPr>
      <w:tblGrid>
        <w:gridCol w:w="2161"/>
        <w:gridCol w:w="3691"/>
      </w:tblGrid>
      <w:tr>
        <w:trPr/>
        <w:tc>
          <w:tcPr>
            <w:tcW w:w="216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2"/>
              </w:rPr>
            </w:pPr>
            <w:r>
              <w:rPr>
                <w:rFonts w:ascii="Times New Roman" w:hAnsi="Times New Roman"/>
                <w:b/>
                <w:color w:val="000000"/>
                <w:sz w:val="22"/>
              </w:rPr>
              <w:t>ORION ENERGY SYSTEMS, INC.</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Date: August 7, 2026</w:t>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J. Per Brodin</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J. Per Brodin</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09375/000119312526279460/d136640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1107</Words>
  <Characters>5979</Characters>
  <CharactersWithSpaces>7062</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